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8" w:type="dxa"/>
        <w:tblInd w:w="108" w:type="dxa"/>
        <w:tblLook w:val="00A0"/>
      </w:tblPr>
      <w:tblGrid>
        <w:gridCol w:w="7136"/>
        <w:gridCol w:w="1297"/>
        <w:gridCol w:w="1214"/>
      </w:tblGrid>
      <w:tr w:rsidR="00AB1C48" w:rsidRPr="001B1CAB" w:rsidTr="001B1CAB">
        <w:trPr>
          <w:trHeight w:val="405"/>
        </w:trPr>
        <w:tc>
          <w:tcPr>
            <w:tcW w:w="7136" w:type="dxa"/>
            <w:tcBorders>
              <w:top w:val="nil"/>
              <w:left w:val="nil"/>
              <w:bottom w:val="nil"/>
              <w:right w:val="nil"/>
            </w:tcBorders>
            <w:noWrap/>
            <w:vAlign w:val="bottom"/>
          </w:tcPr>
          <w:p w:rsidR="00AB1C48" w:rsidRPr="001B1CAB" w:rsidRDefault="00AB1C48" w:rsidP="001B1CAB">
            <w:pPr>
              <w:rPr>
                <w:rFonts w:ascii="Syntax" w:hAnsi="Syntax"/>
                <w:b/>
                <w:bCs/>
                <w:sz w:val="32"/>
                <w:szCs w:val="32"/>
                <w:lang w:val="en-NZ" w:eastAsia="en-NZ"/>
              </w:rPr>
            </w:pPr>
            <w:r w:rsidRPr="001B1CAB">
              <w:rPr>
                <w:rFonts w:ascii="Syntax" w:hAnsi="Syntax"/>
                <w:b/>
                <w:bCs/>
                <w:sz w:val="32"/>
                <w:szCs w:val="32"/>
                <w:lang w:val="en-NZ" w:eastAsia="en-NZ"/>
              </w:rPr>
              <w:t>Summary of V8 Financials November 2010</w:t>
            </w:r>
          </w:p>
        </w:tc>
        <w:tc>
          <w:tcPr>
            <w:tcW w:w="1136" w:type="dxa"/>
            <w:tcBorders>
              <w:top w:val="nil"/>
              <w:left w:val="nil"/>
              <w:bottom w:val="nil"/>
              <w:right w:val="nil"/>
            </w:tcBorders>
            <w:noWrap/>
            <w:vAlign w:val="bottom"/>
          </w:tcPr>
          <w:p w:rsidR="00AB1C48" w:rsidRPr="001B1CAB" w:rsidRDefault="00AB1C48" w:rsidP="001B1CAB">
            <w:pPr>
              <w:rPr>
                <w:rFonts w:ascii="Syntax" w:hAnsi="Syntax"/>
                <w:b/>
                <w:bCs/>
                <w:sz w:val="32"/>
                <w:szCs w:val="32"/>
                <w:lang w:val="en-NZ" w:eastAsia="en-NZ"/>
              </w:rPr>
            </w:pPr>
          </w:p>
        </w:tc>
        <w:tc>
          <w:tcPr>
            <w:tcW w:w="1156" w:type="dxa"/>
            <w:tcBorders>
              <w:top w:val="nil"/>
              <w:left w:val="nil"/>
              <w:bottom w:val="nil"/>
              <w:right w:val="nil"/>
            </w:tcBorders>
            <w:noWrap/>
            <w:vAlign w:val="bottom"/>
          </w:tcPr>
          <w:p w:rsidR="00AB1C48" w:rsidRPr="001B1CAB" w:rsidRDefault="00AB1C48" w:rsidP="001B1CAB">
            <w:pPr>
              <w:rPr>
                <w:rFonts w:ascii="Syntax" w:hAnsi="Syntax"/>
                <w:lang w:val="en-NZ" w:eastAsia="en-NZ"/>
              </w:rPr>
            </w:pPr>
          </w:p>
        </w:tc>
      </w:tr>
      <w:tr w:rsidR="00AB1C48" w:rsidRPr="001B1CAB" w:rsidTr="001B1CAB">
        <w:trPr>
          <w:trHeight w:val="3000"/>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 xml:space="preserve">The total cost paid to date for the V8s is $27.4 million plus the additional costs that are subject to confidentiality under the contract with the promoters.  The $27.4 million is made up of $20.3 million for set up and related costs, $5.1 million for operational costs, which include $1.39 million for interest paid on the original loan,  and $3.5 million on transition costs from the old promoters to V8 Supercars.  A net $1.5 million in revenue has been received to offset against these costs after adjusting for the </w:t>
            </w:r>
            <w:proofErr w:type="spellStart"/>
            <w:r w:rsidRPr="001B1CAB">
              <w:rPr>
                <w:rFonts w:ascii="Syntax" w:hAnsi="Syntax"/>
                <w:sz w:val="20"/>
                <w:szCs w:val="20"/>
                <w:lang w:val="en-NZ" w:eastAsia="en-NZ"/>
              </w:rPr>
              <w:t>writeoff</w:t>
            </w:r>
            <w:proofErr w:type="spellEnd"/>
            <w:r w:rsidRPr="001B1CAB">
              <w:rPr>
                <w:rFonts w:ascii="Syntax" w:hAnsi="Syntax"/>
                <w:sz w:val="20"/>
                <w:szCs w:val="20"/>
                <w:lang w:val="en-NZ" w:eastAsia="en-NZ"/>
              </w:rPr>
              <w:t xml:space="preserve"> of revenue unpaid by </w:t>
            </w:r>
            <w:proofErr w:type="spellStart"/>
            <w:r w:rsidRPr="001B1CAB">
              <w:rPr>
                <w:rFonts w:ascii="Syntax" w:hAnsi="Syntax"/>
                <w:sz w:val="20"/>
                <w:szCs w:val="20"/>
                <w:lang w:val="en-NZ" w:eastAsia="en-NZ"/>
              </w:rPr>
              <w:t>Caleta</w:t>
            </w:r>
            <w:proofErr w:type="spellEnd"/>
            <w:r w:rsidRPr="001B1CAB">
              <w:rPr>
                <w:rFonts w:ascii="Syntax" w:hAnsi="Syntax"/>
                <w:sz w:val="20"/>
                <w:szCs w:val="20"/>
                <w:lang w:val="en-NZ" w:eastAsia="en-NZ"/>
              </w:rPr>
              <w:t xml:space="preserve"> </w:t>
            </w:r>
            <w:proofErr w:type="spellStart"/>
            <w:r w:rsidRPr="001B1CAB">
              <w:rPr>
                <w:rFonts w:ascii="Syntax" w:hAnsi="Syntax"/>
                <w:sz w:val="20"/>
                <w:szCs w:val="20"/>
                <w:lang w:val="en-NZ" w:eastAsia="en-NZ"/>
              </w:rPr>
              <w:t>Streetrace</w:t>
            </w:r>
            <w:proofErr w:type="spellEnd"/>
            <w:r w:rsidRPr="001B1CAB">
              <w:rPr>
                <w:rFonts w:ascii="Syntax" w:hAnsi="Syntax"/>
                <w:sz w:val="20"/>
                <w:szCs w:val="20"/>
                <w:lang w:val="en-NZ" w:eastAsia="en-NZ"/>
              </w:rPr>
              <w:t xml:space="preserve"> Management.  A further $1.47 million, including interest payments (plus additional costs subject to confidentiality under the contract) will be spent on the 2011 event, with $405,000 from contracted lease revenue to offset this cost. This cost may be reduced further depending on any profit share received.</w:t>
            </w:r>
          </w:p>
        </w:tc>
        <w:tc>
          <w:tcPr>
            <w:tcW w:w="1136" w:type="dxa"/>
            <w:tcBorders>
              <w:top w:val="nil"/>
              <w:left w:val="nil"/>
              <w:bottom w:val="nil"/>
              <w:right w:val="nil"/>
            </w:tcBorders>
            <w:noWrap/>
            <w:vAlign w:val="bottom"/>
          </w:tcPr>
          <w:p w:rsidR="00AB1C48" w:rsidRPr="001B1CAB" w:rsidRDefault="00AB1C48" w:rsidP="001B1CAB">
            <w:pPr>
              <w:rPr>
                <w:rFonts w:ascii="Syntax" w:hAnsi="Syntax"/>
                <w:sz w:val="18"/>
                <w:szCs w:val="18"/>
                <w:lang w:val="en-NZ" w:eastAsia="en-NZ"/>
              </w:rPr>
            </w:pPr>
          </w:p>
        </w:tc>
        <w:tc>
          <w:tcPr>
            <w:tcW w:w="1156" w:type="dxa"/>
            <w:tcBorders>
              <w:top w:val="nil"/>
              <w:left w:val="nil"/>
              <w:bottom w:val="nil"/>
              <w:right w:val="nil"/>
            </w:tcBorders>
            <w:noWrap/>
            <w:vAlign w:val="bottom"/>
          </w:tcPr>
          <w:p w:rsidR="00AB1C48" w:rsidRPr="001B1CAB" w:rsidRDefault="00AB1C48" w:rsidP="001B1CAB">
            <w:pPr>
              <w:rPr>
                <w:rFonts w:ascii="Syntax" w:hAnsi="Syntax"/>
                <w:sz w:val="18"/>
                <w:szCs w:val="18"/>
                <w:lang w:val="en-NZ" w:eastAsia="en-NZ"/>
              </w:rPr>
            </w:pPr>
          </w:p>
        </w:tc>
      </w:tr>
      <w:tr w:rsidR="00AB1C48" w:rsidRPr="001B1CAB" w:rsidTr="001B1CAB">
        <w:trPr>
          <w:trHeight w:val="225"/>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p>
        </w:tc>
        <w:tc>
          <w:tcPr>
            <w:tcW w:w="1136" w:type="dxa"/>
            <w:tcBorders>
              <w:top w:val="nil"/>
              <w:left w:val="nil"/>
              <w:bottom w:val="nil"/>
              <w:right w:val="nil"/>
            </w:tcBorders>
            <w:noWrap/>
            <w:vAlign w:val="bottom"/>
          </w:tcPr>
          <w:p w:rsidR="00AB1C48" w:rsidRPr="001B1CAB" w:rsidRDefault="00AB1C48" w:rsidP="001B1CAB">
            <w:pPr>
              <w:rPr>
                <w:rFonts w:ascii="Syntax" w:hAnsi="Syntax"/>
                <w:sz w:val="18"/>
                <w:szCs w:val="18"/>
                <w:lang w:val="en-NZ" w:eastAsia="en-NZ"/>
              </w:rPr>
            </w:pPr>
          </w:p>
        </w:tc>
        <w:tc>
          <w:tcPr>
            <w:tcW w:w="1156" w:type="dxa"/>
            <w:tcBorders>
              <w:top w:val="nil"/>
              <w:left w:val="nil"/>
              <w:bottom w:val="nil"/>
              <w:right w:val="nil"/>
            </w:tcBorders>
            <w:noWrap/>
            <w:vAlign w:val="bottom"/>
          </w:tcPr>
          <w:p w:rsidR="00AB1C48" w:rsidRPr="001B1CAB" w:rsidRDefault="00AB1C48" w:rsidP="001B1CAB">
            <w:pPr>
              <w:rPr>
                <w:rFonts w:ascii="Syntax" w:hAnsi="Syntax"/>
                <w:sz w:val="18"/>
                <w:szCs w:val="18"/>
                <w:lang w:val="en-NZ" w:eastAsia="en-NZ"/>
              </w:rPr>
            </w:pPr>
          </w:p>
        </w:tc>
      </w:tr>
      <w:tr w:rsidR="00AB1C48" w:rsidRPr="001B1CAB" w:rsidTr="001B1CAB">
        <w:trPr>
          <w:trHeight w:val="300"/>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The breakdown is as follows.</w:t>
            </w:r>
          </w:p>
        </w:tc>
        <w:tc>
          <w:tcPr>
            <w:tcW w:w="1136" w:type="dxa"/>
            <w:tcBorders>
              <w:top w:val="nil"/>
              <w:left w:val="nil"/>
              <w:bottom w:val="nil"/>
              <w:right w:val="nil"/>
            </w:tcBorders>
            <w:noWrap/>
            <w:vAlign w:val="bottom"/>
          </w:tcPr>
          <w:p w:rsidR="00AB1C48" w:rsidRPr="001B1CAB" w:rsidRDefault="00AB1C48" w:rsidP="001B1CAB">
            <w:pPr>
              <w:rPr>
                <w:rFonts w:ascii="Syntax" w:hAnsi="Syntax"/>
                <w:sz w:val="18"/>
                <w:szCs w:val="18"/>
                <w:lang w:val="en-NZ" w:eastAsia="en-NZ"/>
              </w:rPr>
            </w:pPr>
          </w:p>
        </w:tc>
        <w:tc>
          <w:tcPr>
            <w:tcW w:w="1156" w:type="dxa"/>
            <w:tcBorders>
              <w:top w:val="nil"/>
              <w:left w:val="nil"/>
              <w:bottom w:val="nil"/>
              <w:right w:val="nil"/>
            </w:tcBorders>
            <w:noWrap/>
            <w:vAlign w:val="bottom"/>
          </w:tcPr>
          <w:p w:rsidR="00AB1C48" w:rsidRPr="001B1CAB" w:rsidRDefault="00AB1C48" w:rsidP="001B1CAB">
            <w:pPr>
              <w:rPr>
                <w:rFonts w:ascii="Syntax" w:hAnsi="Syntax"/>
                <w:sz w:val="18"/>
                <w:szCs w:val="18"/>
                <w:lang w:val="en-NZ" w:eastAsia="en-NZ"/>
              </w:rPr>
            </w:pPr>
          </w:p>
        </w:tc>
      </w:tr>
      <w:tr w:rsidR="00AB1C48" w:rsidRPr="001B1CAB" w:rsidTr="001B1CAB">
        <w:trPr>
          <w:trHeight w:val="210"/>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p>
        </w:tc>
        <w:tc>
          <w:tcPr>
            <w:tcW w:w="1136" w:type="dxa"/>
            <w:tcBorders>
              <w:top w:val="nil"/>
              <w:left w:val="nil"/>
              <w:bottom w:val="nil"/>
              <w:right w:val="nil"/>
            </w:tcBorders>
            <w:noWrap/>
            <w:vAlign w:val="bottom"/>
          </w:tcPr>
          <w:p w:rsidR="00AB1C48" w:rsidRPr="001B1CAB" w:rsidRDefault="00AB1C48" w:rsidP="001B1CAB">
            <w:pPr>
              <w:rPr>
                <w:rFonts w:ascii="Syntax" w:hAnsi="Syntax"/>
                <w:sz w:val="18"/>
                <w:szCs w:val="18"/>
                <w:lang w:val="en-NZ" w:eastAsia="en-NZ"/>
              </w:rPr>
            </w:pPr>
          </w:p>
        </w:tc>
        <w:tc>
          <w:tcPr>
            <w:tcW w:w="1156" w:type="dxa"/>
            <w:tcBorders>
              <w:top w:val="nil"/>
              <w:left w:val="nil"/>
              <w:bottom w:val="nil"/>
              <w:right w:val="nil"/>
            </w:tcBorders>
            <w:noWrap/>
            <w:vAlign w:val="bottom"/>
          </w:tcPr>
          <w:p w:rsidR="00AB1C48" w:rsidRPr="001B1CAB" w:rsidRDefault="00AB1C48" w:rsidP="001B1CAB">
            <w:pPr>
              <w:rPr>
                <w:rFonts w:ascii="Syntax" w:hAnsi="Syntax"/>
                <w:sz w:val="18"/>
                <w:szCs w:val="18"/>
                <w:lang w:val="en-NZ" w:eastAsia="en-NZ"/>
              </w:rPr>
            </w:pPr>
          </w:p>
        </w:tc>
      </w:tr>
      <w:tr w:rsidR="00AB1C48" w:rsidRPr="001B1CAB" w:rsidTr="001B1CAB">
        <w:trPr>
          <w:trHeight w:val="300"/>
        </w:trPr>
        <w:tc>
          <w:tcPr>
            <w:tcW w:w="7136" w:type="dxa"/>
            <w:tcBorders>
              <w:top w:val="nil"/>
              <w:left w:val="nil"/>
              <w:bottom w:val="nil"/>
              <w:right w:val="nil"/>
            </w:tcBorders>
            <w:shd w:val="clear" w:color="000000" w:fill="A5A5A5"/>
            <w:noWrap/>
            <w:vAlign w:val="bottom"/>
          </w:tcPr>
          <w:p w:rsidR="00AB1C48" w:rsidRPr="001B1CAB" w:rsidRDefault="00AB1C48" w:rsidP="001B1CAB">
            <w:pPr>
              <w:rPr>
                <w:rFonts w:ascii="Syntax" w:hAnsi="Syntax"/>
                <w:b/>
                <w:bCs/>
                <w:sz w:val="20"/>
                <w:szCs w:val="20"/>
                <w:lang w:val="en-NZ" w:eastAsia="en-NZ"/>
              </w:rPr>
            </w:pPr>
            <w:r w:rsidRPr="001B1CAB">
              <w:rPr>
                <w:rFonts w:ascii="Syntax" w:hAnsi="Syntax"/>
                <w:b/>
                <w:bCs/>
                <w:sz w:val="20"/>
                <w:szCs w:val="20"/>
                <w:lang w:val="en-NZ" w:eastAsia="en-NZ"/>
              </w:rPr>
              <w:t>Costs paid by HCC to set up the V8's</w:t>
            </w:r>
          </w:p>
        </w:tc>
        <w:tc>
          <w:tcPr>
            <w:tcW w:w="1136" w:type="dxa"/>
            <w:tcBorders>
              <w:top w:val="nil"/>
              <w:left w:val="nil"/>
              <w:bottom w:val="nil"/>
              <w:right w:val="nil"/>
            </w:tcBorders>
            <w:shd w:val="clear" w:color="000000" w:fill="A5A5A5"/>
            <w:noWrap/>
            <w:vAlign w:val="bottom"/>
          </w:tcPr>
          <w:p w:rsidR="00AB1C48" w:rsidRPr="001B1CAB" w:rsidRDefault="00AB1C48" w:rsidP="001B1CAB">
            <w:pPr>
              <w:rPr>
                <w:rFonts w:ascii="Syntax" w:hAnsi="Syntax"/>
                <w:b/>
                <w:bCs/>
                <w:sz w:val="20"/>
                <w:szCs w:val="20"/>
                <w:lang w:val="en-NZ" w:eastAsia="en-NZ"/>
              </w:rPr>
            </w:pPr>
            <w:r w:rsidRPr="001B1CAB">
              <w:rPr>
                <w:rFonts w:ascii="Syntax" w:hAnsi="Syntax"/>
                <w:b/>
                <w:bCs/>
                <w:sz w:val="20"/>
                <w:szCs w:val="20"/>
                <w:lang w:val="en-NZ" w:eastAsia="en-NZ"/>
              </w:rPr>
              <w:t> </w:t>
            </w:r>
          </w:p>
        </w:tc>
        <w:tc>
          <w:tcPr>
            <w:tcW w:w="1156" w:type="dxa"/>
            <w:tcBorders>
              <w:top w:val="nil"/>
              <w:left w:val="nil"/>
              <w:bottom w:val="nil"/>
              <w:right w:val="nil"/>
            </w:tcBorders>
            <w:shd w:val="clear" w:color="000000" w:fill="A5A5A5"/>
            <w:noWrap/>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 </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r w:rsidRPr="001B1CAB">
              <w:rPr>
                <w:rFonts w:ascii="Syntax" w:hAnsi="Syntax"/>
                <w:b/>
                <w:bCs/>
                <w:sz w:val="20"/>
                <w:szCs w:val="20"/>
                <w:lang w:val="en-NZ" w:eastAsia="en-NZ"/>
              </w:rPr>
              <w:t>Assets</w:t>
            </w:r>
          </w:p>
        </w:tc>
        <w:tc>
          <w:tcPr>
            <w:tcW w:w="1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r>
      <w:tr w:rsidR="00AB1C48" w:rsidRPr="001B1CAB" w:rsidTr="001B1CAB">
        <w:trPr>
          <w:trHeight w:val="300"/>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 xml:space="preserve">Bridges (x5) &amp; </w:t>
            </w:r>
            <w:proofErr w:type="spellStart"/>
            <w:r w:rsidRPr="001B1CAB">
              <w:rPr>
                <w:rFonts w:ascii="Syntax" w:hAnsi="Syntax"/>
                <w:sz w:val="20"/>
                <w:szCs w:val="20"/>
                <w:lang w:val="en-NZ" w:eastAsia="en-NZ"/>
              </w:rPr>
              <w:t>Overtrack</w:t>
            </w:r>
            <w:proofErr w:type="spellEnd"/>
            <w:r w:rsidRPr="001B1CAB">
              <w:rPr>
                <w:rFonts w:ascii="Syntax" w:hAnsi="Syntax"/>
                <w:sz w:val="20"/>
                <w:szCs w:val="20"/>
                <w:lang w:val="en-NZ" w:eastAsia="en-NZ"/>
              </w:rPr>
              <w:t xml:space="preserve"> structures (x3)</w:t>
            </w:r>
          </w:p>
        </w:tc>
        <w:tc>
          <w:tcPr>
            <w:tcW w:w="1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1,953,000</w:t>
            </w:r>
          </w:p>
        </w:tc>
      </w:tr>
      <w:tr w:rsidR="00AB1C48" w:rsidRPr="001B1CAB" w:rsidTr="001B1CAB">
        <w:trPr>
          <w:trHeight w:val="300"/>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Concrete barriers</w:t>
            </w:r>
          </w:p>
        </w:tc>
        <w:tc>
          <w:tcPr>
            <w:tcW w:w="1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3,096,000</w:t>
            </w:r>
          </w:p>
        </w:tc>
      </w:tr>
      <w:tr w:rsidR="00AB1C48" w:rsidRPr="001B1CAB" w:rsidTr="001B1CAB">
        <w:trPr>
          <w:trHeight w:val="300"/>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Debris fencing</w:t>
            </w:r>
          </w:p>
        </w:tc>
        <w:tc>
          <w:tcPr>
            <w:tcW w:w="1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1,260,000</w:t>
            </w:r>
          </w:p>
        </w:tc>
      </w:tr>
      <w:tr w:rsidR="00AB1C48" w:rsidRPr="001B1CAB" w:rsidTr="001B1CAB">
        <w:trPr>
          <w:trHeight w:val="300"/>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Landscaping around track, which was a requirement of the resource consent</w:t>
            </w:r>
          </w:p>
        </w:tc>
        <w:tc>
          <w:tcPr>
            <w:tcW w:w="1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158,000</w:t>
            </w:r>
          </w:p>
        </w:tc>
      </w:tr>
      <w:tr w:rsidR="00AB1C48" w:rsidRPr="001B1CAB" w:rsidTr="001B1CAB">
        <w:trPr>
          <w:trHeight w:val="990"/>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Improvements to the Frankton yard and buildings leased by HCC for use by Promoters and storage of HCC's race assets: office and warehouse repair &amp; refurbishment, improvements to the yard, electric fencing and drainage works</w:t>
            </w:r>
          </w:p>
        </w:tc>
        <w:tc>
          <w:tcPr>
            <w:tcW w:w="1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1,937,000</w:t>
            </w:r>
          </w:p>
        </w:tc>
      </w:tr>
      <w:tr w:rsidR="00AB1C48" w:rsidRPr="001B1CAB" w:rsidTr="001B1CAB">
        <w:trPr>
          <w:trHeight w:val="450"/>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 xml:space="preserve">Pit lane building purchased from </w:t>
            </w:r>
            <w:proofErr w:type="spellStart"/>
            <w:r w:rsidRPr="001B1CAB">
              <w:rPr>
                <w:rFonts w:ascii="Syntax" w:hAnsi="Syntax"/>
                <w:sz w:val="20"/>
                <w:szCs w:val="20"/>
                <w:lang w:val="en-NZ" w:eastAsia="en-NZ"/>
              </w:rPr>
              <w:t>Caleta</w:t>
            </w:r>
            <w:proofErr w:type="spellEnd"/>
            <w:r w:rsidRPr="001B1CAB">
              <w:rPr>
                <w:rFonts w:ascii="Syntax" w:hAnsi="Syntax"/>
                <w:sz w:val="20"/>
                <w:szCs w:val="20"/>
                <w:lang w:val="en-NZ" w:eastAsia="en-NZ"/>
              </w:rPr>
              <w:t xml:space="preserve"> </w:t>
            </w:r>
            <w:proofErr w:type="spellStart"/>
            <w:r w:rsidRPr="001B1CAB">
              <w:rPr>
                <w:rFonts w:ascii="Syntax" w:hAnsi="Syntax"/>
                <w:sz w:val="20"/>
                <w:szCs w:val="20"/>
                <w:lang w:val="en-NZ" w:eastAsia="en-NZ"/>
              </w:rPr>
              <w:t>Streetrace</w:t>
            </w:r>
            <w:proofErr w:type="spellEnd"/>
            <w:r w:rsidRPr="001B1CAB">
              <w:rPr>
                <w:rFonts w:ascii="Syntax" w:hAnsi="Syntax"/>
                <w:sz w:val="20"/>
                <w:szCs w:val="20"/>
                <w:lang w:val="en-NZ" w:eastAsia="en-NZ"/>
              </w:rPr>
              <w:t xml:space="preserve"> Management</w:t>
            </w:r>
          </w:p>
        </w:tc>
        <w:tc>
          <w:tcPr>
            <w:tcW w:w="1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2,253,000</w:t>
            </w:r>
          </w:p>
        </w:tc>
      </w:tr>
      <w:tr w:rsidR="00AB1C48" w:rsidRPr="001B1CAB" w:rsidTr="001B1CAB">
        <w:trPr>
          <w:trHeight w:val="300"/>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Pit lane ground works - concrete pad and drainage works</w:t>
            </w:r>
          </w:p>
        </w:tc>
        <w:tc>
          <w:tcPr>
            <w:tcW w:w="1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2,407,000</w:t>
            </w:r>
          </w:p>
        </w:tc>
      </w:tr>
      <w:tr w:rsidR="00AB1C48" w:rsidRPr="001B1CAB" w:rsidTr="001B1CAB">
        <w:trPr>
          <w:trHeight w:val="300"/>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 xml:space="preserve">Purchase of house/land on </w:t>
            </w:r>
            <w:proofErr w:type="spellStart"/>
            <w:r w:rsidRPr="001B1CAB">
              <w:rPr>
                <w:rFonts w:ascii="Syntax" w:hAnsi="Syntax"/>
                <w:sz w:val="20"/>
                <w:szCs w:val="20"/>
                <w:lang w:val="en-NZ" w:eastAsia="en-NZ"/>
              </w:rPr>
              <w:t>Seddon</w:t>
            </w:r>
            <w:proofErr w:type="spellEnd"/>
            <w:r w:rsidRPr="001B1CAB">
              <w:rPr>
                <w:rFonts w:ascii="Syntax" w:hAnsi="Syntax"/>
                <w:sz w:val="20"/>
                <w:szCs w:val="20"/>
                <w:lang w:val="en-NZ" w:eastAsia="en-NZ"/>
              </w:rPr>
              <w:t xml:space="preserve"> Rd</w:t>
            </w:r>
          </w:p>
        </w:tc>
        <w:tc>
          <w:tcPr>
            <w:tcW w:w="1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467,000</w:t>
            </w:r>
          </w:p>
        </w:tc>
      </w:tr>
      <w:tr w:rsidR="00AB1C48" w:rsidRPr="001B1CAB" w:rsidTr="001B1CAB">
        <w:trPr>
          <w:trHeight w:val="300"/>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Resource consent costs for HCC to hold the V8 event</w:t>
            </w:r>
          </w:p>
        </w:tc>
        <w:tc>
          <w:tcPr>
            <w:tcW w:w="1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996,000</w:t>
            </w:r>
          </w:p>
        </w:tc>
      </w:tr>
      <w:tr w:rsidR="00AB1C48" w:rsidRPr="001B1CAB" w:rsidTr="001B1CAB">
        <w:trPr>
          <w:trHeight w:val="945"/>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proofErr w:type="spellStart"/>
            <w:r w:rsidRPr="001B1CAB">
              <w:rPr>
                <w:rFonts w:ascii="Syntax" w:hAnsi="Syntax"/>
                <w:sz w:val="20"/>
                <w:szCs w:val="20"/>
                <w:lang w:val="en-NZ" w:eastAsia="en-NZ"/>
              </w:rPr>
              <w:t>Roading</w:t>
            </w:r>
            <w:proofErr w:type="spellEnd"/>
            <w:r w:rsidRPr="001B1CAB">
              <w:rPr>
                <w:rFonts w:ascii="Syntax" w:hAnsi="Syntax"/>
                <w:sz w:val="20"/>
                <w:szCs w:val="20"/>
                <w:lang w:val="en-NZ" w:eastAsia="en-NZ"/>
              </w:rPr>
              <w:t xml:space="preserve"> - including resurfacing &amp; realignment, removal of roundabouts (construction of inserts) construction of the chicane and the bolt down of all manhole covers</w:t>
            </w:r>
          </w:p>
        </w:tc>
        <w:tc>
          <w:tcPr>
            <w:tcW w:w="1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2,902,000</w:t>
            </w:r>
          </w:p>
        </w:tc>
      </w:tr>
      <w:tr w:rsidR="00AB1C48" w:rsidRPr="001B1CAB" w:rsidTr="001B1CAB">
        <w:trPr>
          <w:trHeight w:val="450"/>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Timing system &amp; race lights</w:t>
            </w:r>
          </w:p>
        </w:tc>
        <w:tc>
          <w:tcPr>
            <w:tcW w:w="1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165,000</w:t>
            </w:r>
          </w:p>
        </w:tc>
      </w:tr>
      <w:tr w:rsidR="00AB1C48" w:rsidRPr="001B1CAB" w:rsidTr="001B1CAB">
        <w:trPr>
          <w:trHeight w:val="300"/>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Tyre stacks used along the race track</w:t>
            </w:r>
          </w:p>
        </w:tc>
        <w:tc>
          <w:tcPr>
            <w:tcW w:w="1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385,000</w:t>
            </w:r>
          </w:p>
        </w:tc>
      </w:tr>
      <w:tr w:rsidR="00AB1C48" w:rsidRPr="001B1CAB" w:rsidTr="001B1CAB">
        <w:trPr>
          <w:trHeight w:val="300"/>
        </w:trPr>
        <w:tc>
          <w:tcPr>
            <w:tcW w:w="7136" w:type="dxa"/>
            <w:tcBorders>
              <w:top w:val="nil"/>
              <w:left w:val="nil"/>
              <w:bottom w:val="nil"/>
              <w:right w:val="nil"/>
            </w:tcBorders>
            <w:vAlign w:val="bottom"/>
          </w:tcPr>
          <w:p w:rsidR="00AB1C48" w:rsidRPr="001B1CAB" w:rsidRDefault="00AB1C48" w:rsidP="001B1CAB">
            <w:pPr>
              <w:rPr>
                <w:rFonts w:ascii="Syntax" w:hAnsi="Syntax"/>
                <w:b/>
                <w:bCs/>
                <w:sz w:val="20"/>
                <w:szCs w:val="20"/>
                <w:lang w:val="en-NZ" w:eastAsia="en-NZ"/>
              </w:rPr>
            </w:pPr>
            <w:r w:rsidRPr="001B1CAB">
              <w:rPr>
                <w:rFonts w:ascii="Syntax" w:hAnsi="Syntax"/>
                <w:b/>
                <w:bCs/>
                <w:sz w:val="20"/>
                <w:szCs w:val="20"/>
                <w:lang w:val="en-NZ" w:eastAsia="en-NZ"/>
              </w:rPr>
              <w:t>Total Costs (Debt)</w:t>
            </w:r>
          </w:p>
        </w:tc>
        <w:tc>
          <w:tcPr>
            <w:tcW w:w="1136" w:type="dxa"/>
            <w:tcBorders>
              <w:top w:val="nil"/>
              <w:left w:val="nil"/>
              <w:bottom w:val="nil"/>
              <w:right w:val="nil"/>
            </w:tcBorders>
            <w:vAlign w:val="bottom"/>
          </w:tcPr>
          <w:p w:rsidR="00AB1C48" w:rsidRPr="001B1CAB" w:rsidRDefault="00AB1C48" w:rsidP="001B1CAB">
            <w:pPr>
              <w:rPr>
                <w:rFonts w:ascii="Syntax" w:hAnsi="Syntax"/>
                <w:b/>
                <w:bCs/>
                <w:sz w:val="20"/>
                <w:szCs w:val="20"/>
                <w:lang w:val="en-NZ" w:eastAsia="en-NZ"/>
              </w:rPr>
            </w:pPr>
          </w:p>
        </w:tc>
        <w:tc>
          <w:tcPr>
            <w:tcW w:w="1156" w:type="dxa"/>
            <w:tcBorders>
              <w:top w:val="single" w:sz="4" w:space="0" w:color="auto"/>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17,979,000</w:t>
            </w:r>
          </w:p>
        </w:tc>
      </w:tr>
      <w:tr w:rsidR="00AB1C48" w:rsidRPr="001B1CAB" w:rsidTr="001B1CAB">
        <w:trPr>
          <w:trHeight w:val="300"/>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p>
        </w:tc>
        <w:tc>
          <w:tcPr>
            <w:tcW w:w="1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r w:rsidRPr="001B1CAB">
              <w:rPr>
                <w:rFonts w:ascii="Syntax" w:hAnsi="Syntax"/>
                <w:b/>
                <w:bCs/>
                <w:sz w:val="20"/>
                <w:szCs w:val="20"/>
                <w:lang w:val="en-NZ" w:eastAsia="en-NZ"/>
              </w:rPr>
              <w:t>Funded by</w:t>
            </w:r>
          </w:p>
        </w:tc>
        <w:tc>
          <w:tcPr>
            <w:tcW w:w="1136" w:type="dxa"/>
            <w:tcBorders>
              <w:top w:val="nil"/>
              <w:left w:val="nil"/>
              <w:bottom w:val="nil"/>
              <w:right w:val="nil"/>
            </w:tcBorders>
            <w:vAlign w:val="bottom"/>
          </w:tcPr>
          <w:p w:rsidR="00AB1C48" w:rsidRPr="001B1CAB" w:rsidRDefault="00AB1C48" w:rsidP="001B1CAB">
            <w:pPr>
              <w:rPr>
                <w:rFonts w:ascii="Syntax" w:hAnsi="Syntax"/>
                <w:b/>
                <w:bCs/>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r>
      <w:tr w:rsidR="00AB1C48" w:rsidRPr="001B1CAB" w:rsidTr="001B1CAB">
        <w:trPr>
          <w:trHeight w:val="675"/>
        </w:trPr>
        <w:tc>
          <w:tcPr>
            <w:tcW w:w="7136" w:type="dxa"/>
            <w:tcBorders>
              <w:top w:val="nil"/>
              <w:left w:val="nil"/>
              <w:bottom w:val="nil"/>
              <w:right w:val="nil"/>
            </w:tcBorders>
            <w:vAlign w:val="center"/>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Borrowed from the bank and repaid by rates (from the original CBD Upgrade budget)</w:t>
            </w:r>
          </w:p>
        </w:tc>
        <w:tc>
          <w:tcPr>
            <w:tcW w:w="1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7,321,000</w:t>
            </w:r>
          </w:p>
        </w:tc>
      </w:tr>
      <w:tr w:rsidR="00AB1C48" w:rsidRPr="001B1CAB" w:rsidTr="001B1CAB">
        <w:trPr>
          <w:trHeight w:val="720"/>
        </w:trPr>
        <w:tc>
          <w:tcPr>
            <w:tcW w:w="7136" w:type="dxa"/>
            <w:tcBorders>
              <w:top w:val="nil"/>
              <w:left w:val="nil"/>
              <w:bottom w:val="nil"/>
              <w:right w:val="nil"/>
            </w:tcBorders>
            <w:vAlign w:val="center"/>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 xml:space="preserve">Borrowed from HCC’s internal cash reserve (V8 reserve debt) to be repaid from V8s profit </w:t>
            </w:r>
          </w:p>
        </w:tc>
        <w:tc>
          <w:tcPr>
            <w:tcW w:w="1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10,191,000</w:t>
            </w:r>
          </w:p>
        </w:tc>
      </w:tr>
      <w:tr w:rsidR="00AB1C48" w:rsidRPr="001B1CAB" w:rsidTr="001B1CAB">
        <w:trPr>
          <w:trHeight w:val="300"/>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 xml:space="preserve">Sale of </w:t>
            </w:r>
            <w:proofErr w:type="spellStart"/>
            <w:r w:rsidRPr="001B1CAB">
              <w:rPr>
                <w:rFonts w:ascii="Syntax" w:hAnsi="Syntax"/>
                <w:sz w:val="20"/>
                <w:szCs w:val="20"/>
                <w:lang w:val="en-NZ" w:eastAsia="en-NZ"/>
              </w:rPr>
              <w:t>Seddon</w:t>
            </w:r>
            <w:proofErr w:type="spellEnd"/>
            <w:r w:rsidRPr="001B1CAB">
              <w:rPr>
                <w:rFonts w:ascii="Syntax" w:hAnsi="Syntax"/>
                <w:sz w:val="20"/>
                <w:szCs w:val="20"/>
                <w:lang w:val="en-NZ" w:eastAsia="en-NZ"/>
              </w:rPr>
              <w:t xml:space="preserve"> Road</w:t>
            </w:r>
          </w:p>
        </w:tc>
        <w:tc>
          <w:tcPr>
            <w:tcW w:w="1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p>
        </w:tc>
        <w:tc>
          <w:tcPr>
            <w:tcW w:w="1156" w:type="dxa"/>
            <w:tcBorders>
              <w:top w:val="nil"/>
              <w:left w:val="nil"/>
              <w:bottom w:val="single" w:sz="4" w:space="0" w:color="auto"/>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467,000</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r w:rsidRPr="001B1CAB">
              <w:rPr>
                <w:rFonts w:ascii="Syntax" w:hAnsi="Syntax"/>
                <w:b/>
                <w:bCs/>
                <w:sz w:val="20"/>
                <w:szCs w:val="20"/>
                <w:lang w:val="en-NZ" w:eastAsia="en-NZ"/>
              </w:rPr>
              <w:t>Total</w:t>
            </w:r>
          </w:p>
        </w:tc>
        <w:tc>
          <w:tcPr>
            <w:tcW w:w="1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17,979,000</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p>
        </w:tc>
        <w:tc>
          <w:tcPr>
            <w:tcW w:w="1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r>
      <w:tr w:rsidR="00AB1C48" w:rsidRPr="001B1CAB" w:rsidTr="001B1CAB">
        <w:trPr>
          <w:trHeight w:val="1110"/>
        </w:trPr>
        <w:tc>
          <w:tcPr>
            <w:tcW w:w="9428" w:type="dxa"/>
            <w:gridSpan w:val="3"/>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lastRenderedPageBreak/>
              <w:t xml:space="preserve">Note: at the end of this financial year (30/6/2011) the V8 reserve debt balance is expected to be $14.16m which includes interest which has been added to the reserve debt, lease income from the pit lane structure and Frankton building, Host City fee monies (Sponsorship) paid in advance to the previous promoter, debt write off for </w:t>
            </w:r>
            <w:proofErr w:type="spellStart"/>
            <w:r w:rsidRPr="001B1CAB">
              <w:rPr>
                <w:rFonts w:ascii="Syntax" w:hAnsi="Syntax"/>
                <w:sz w:val="20"/>
                <w:szCs w:val="20"/>
                <w:lang w:val="en-NZ" w:eastAsia="en-NZ"/>
              </w:rPr>
              <w:t>Caleta</w:t>
            </w:r>
            <w:proofErr w:type="spellEnd"/>
            <w:r w:rsidRPr="001B1CAB">
              <w:rPr>
                <w:rFonts w:ascii="Syntax" w:hAnsi="Syntax"/>
                <w:sz w:val="20"/>
                <w:szCs w:val="20"/>
                <w:lang w:val="en-NZ" w:eastAsia="en-NZ"/>
              </w:rPr>
              <w:t xml:space="preserve"> </w:t>
            </w:r>
            <w:proofErr w:type="spellStart"/>
            <w:r w:rsidRPr="001B1CAB">
              <w:rPr>
                <w:rFonts w:ascii="Syntax" w:hAnsi="Syntax"/>
                <w:sz w:val="20"/>
                <w:szCs w:val="20"/>
                <w:lang w:val="en-NZ" w:eastAsia="en-NZ"/>
              </w:rPr>
              <w:t>Streetrace</w:t>
            </w:r>
            <w:proofErr w:type="spellEnd"/>
            <w:r w:rsidRPr="001B1CAB">
              <w:rPr>
                <w:rFonts w:ascii="Syntax" w:hAnsi="Syntax"/>
                <w:sz w:val="20"/>
                <w:szCs w:val="20"/>
                <w:lang w:val="en-NZ" w:eastAsia="en-NZ"/>
              </w:rPr>
              <w:t xml:space="preserve"> Management and transition costs from </w:t>
            </w:r>
            <w:proofErr w:type="spellStart"/>
            <w:r w:rsidRPr="001B1CAB">
              <w:rPr>
                <w:rFonts w:ascii="Syntax" w:hAnsi="Syntax"/>
                <w:sz w:val="20"/>
                <w:szCs w:val="20"/>
                <w:lang w:val="en-NZ" w:eastAsia="en-NZ"/>
              </w:rPr>
              <w:t>Caleta</w:t>
            </w:r>
            <w:proofErr w:type="spellEnd"/>
            <w:r w:rsidRPr="001B1CAB">
              <w:rPr>
                <w:rFonts w:ascii="Syntax" w:hAnsi="Syntax"/>
                <w:sz w:val="20"/>
                <w:szCs w:val="20"/>
                <w:lang w:val="en-NZ" w:eastAsia="en-NZ"/>
              </w:rPr>
              <w:t xml:space="preserve"> to V8 Supercars.</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p>
        </w:tc>
        <w:tc>
          <w:tcPr>
            <w:tcW w:w="1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r>
      <w:tr w:rsidR="00AB1C48" w:rsidRPr="001B1CAB" w:rsidTr="001B1CAB">
        <w:trPr>
          <w:trHeight w:val="300"/>
        </w:trPr>
        <w:tc>
          <w:tcPr>
            <w:tcW w:w="7136" w:type="dxa"/>
            <w:tcBorders>
              <w:top w:val="nil"/>
              <w:left w:val="nil"/>
              <w:bottom w:val="nil"/>
              <w:right w:val="nil"/>
            </w:tcBorders>
            <w:shd w:val="clear" w:color="000000" w:fill="A5A5A5"/>
            <w:noWrap/>
            <w:vAlign w:val="bottom"/>
          </w:tcPr>
          <w:p w:rsidR="00AB1C48" w:rsidRPr="001B1CAB" w:rsidRDefault="00AB1C48" w:rsidP="001B1CAB">
            <w:pPr>
              <w:rPr>
                <w:rFonts w:ascii="Syntax" w:hAnsi="Syntax"/>
                <w:b/>
                <w:bCs/>
                <w:sz w:val="20"/>
                <w:szCs w:val="20"/>
                <w:lang w:val="en-NZ" w:eastAsia="en-NZ"/>
              </w:rPr>
            </w:pPr>
            <w:r w:rsidRPr="001B1CAB">
              <w:rPr>
                <w:rFonts w:ascii="Syntax" w:hAnsi="Syntax"/>
                <w:b/>
                <w:bCs/>
                <w:sz w:val="20"/>
                <w:szCs w:val="20"/>
                <w:lang w:val="en-NZ" w:eastAsia="en-NZ"/>
              </w:rPr>
              <w:t>Current book value of V8 Assets 30th November 2010</w:t>
            </w:r>
          </w:p>
        </w:tc>
        <w:tc>
          <w:tcPr>
            <w:tcW w:w="1136" w:type="dxa"/>
            <w:tcBorders>
              <w:top w:val="nil"/>
              <w:left w:val="nil"/>
              <w:bottom w:val="nil"/>
              <w:right w:val="nil"/>
            </w:tcBorders>
            <w:shd w:val="clear" w:color="000000" w:fill="A5A5A5"/>
            <w:noWrap/>
            <w:vAlign w:val="bottom"/>
          </w:tcPr>
          <w:p w:rsidR="00AB1C48" w:rsidRPr="001B1CAB" w:rsidRDefault="00AB1C48" w:rsidP="001B1CAB">
            <w:pPr>
              <w:rPr>
                <w:rFonts w:ascii="Syntax" w:hAnsi="Syntax"/>
                <w:b/>
                <w:bCs/>
                <w:sz w:val="20"/>
                <w:szCs w:val="20"/>
                <w:lang w:val="en-NZ" w:eastAsia="en-NZ"/>
              </w:rPr>
            </w:pPr>
            <w:r w:rsidRPr="001B1CAB">
              <w:rPr>
                <w:rFonts w:ascii="Syntax" w:hAnsi="Syntax"/>
                <w:b/>
                <w:bCs/>
                <w:sz w:val="20"/>
                <w:szCs w:val="20"/>
                <w:lang w:val="en-NZ" w:eastAsia="en-NZ"/>
              </w:rPr>
              <w:t> </w:t>
            </w:r>
          </w:p>
        </w:tc>
        <w:tc>
          <w:tcPr>
            <w:tcW w:w="1156" w:type="dxa"/>
            <w:tcBorders>
              <w:top w:val="nil"/>
              <w:left w:val="nil"/>
              <w:bottom w:val="nil"/>
              <w:right w:val="nil"/>
            </w:tcBorders>
            <w:shd w:val="clear" w:color="000000" w:fill="A5A5A5"/>
            <w:noWrap/>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 </w:t>
            </w:r>
          </w:p>
        </w:tc>
      </w:tr>
      <w:tr w:rsidR="00AB1C48" w:rsidRPr="001B1CAB" w:rsidTr="001B1CAB">
        <w:trPr>
          <w:trHeight w:val="300"/>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 xml:space="preserve">Bridges (x5) &amp; </w:t>
            </w:r>
            <w:proofErr w:type="spellStart"/>
            <w:r w:rsidRPr="001B1CAB">
              <w:rPr>
                <w:rFonts w:ascii="Syntax" w:hAnsi="Syntax"/>
                <w:sz w:val="20"/>
                <w:szCs w:val="20"/>
                <w:lang w:val="en-NZ" w:eastAsia="en-NZ"/>
              </w:rPr>
              <w:t>Overtrack</w:t>
            </w:r>
            <w:proofErr w:type="spellEnd"/>
            <w:r w:rsidRPr="001B1CAB">
              <w:rPr>
                <w:rFonts w:ascii="Syntax" w:hAnsi="Syntax"/>
                <w:sz w:val="20"/>
                <w:szCs w:val="20"/>
                <w:lang w:val="en-NZ" w:eastAsia="en-NZ"/>
              </w:rPr>
              <w:t xml:space="preserve"> structures (x3)</w:t>
            </w:r>
          </w:p>
        </w:tc>
        <w:tc>
          <w:tcPr>
            <w:tcW w:w="1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1,616,000</w:t>
            </w:r>
          </w:p>
        </w:tc>
      </w:tr>
      <w:tr w:rsidR="00AB1C48" w:rsidRPr="001B1CAB" w:rsidTr="001B1CAB">
        <w:trPr>
          <w:trHeight w:val="300"/>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Concrete barriers</w:t>
            </w:r>
          </w:p>
        </w:tc>
        <w:tc>
          <w:tcPr>
            <w:tcW w:w="1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2,052,000</w:t>
            </w:r>
          </w:p>
        </w:tc>
      </w:tr>
      <w:tr w:rsidR="00AB1C48" w:rsidRPr="001B1CAB" w:rsidTr="001B1CAB">
        <w:trPr>
          <w:trHeight w:val="300"/>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Debris fencing</w:t>
            </w:r>
          </w:p>
        </w:tc>
        <w:tc>
          <w:tcPr>
            <w:tcW w:w="1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1,053,000</w:t>
            </w:r>
          </w:p>
        </w:tc>
      </w:tr>
      <w:tr w:rsidR="00AB1C48" w:rsidRPr="001B1CAB" w:rsidTr="001B1CAB">
        <w:trPr>
          <w:trHeight w:val="300"/>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 xml:space="preserve">Pit lane building purchased from </w:t>
            </w:r>
            <w:proofErr w:type="spellStart"/>
            <w:r w:rsidRPr="001B1CAB">
              <w:rPr>
                <w:rFonts w:ascii="Syntax" w:hAnsi="Syntax"/>
                <w:sz w:val="20"/>
                <w:szCs w:val="20"/>
                <w:lang w:val="en-NZ" w:eastAsia="en-NZ"/>
              </w:rPr>
              <w:t>Caleta</w:t>
            </w:r>
            <w:proofErr w:type="spellEnd"/>
            <w:r w:rsidRPr="001B1CAB">
              <w:rPr>
                <w:rFonts w:ascii="Syntax" w:hAnsi="Syntax"/>
                <w:sz w:val="20"/>
                <w:szCs w:val="20"/>
                <w:lang w:val="en-NZ" w:eastAsia="en-NZ"/>
              </w:rPr>
              <w:t xml:space="preserve"> </w:t>
            </w:r>
            <w:proofErr w:type="spellStart"/>
            <w:r w:rsidRPr="001B1CAB">
              <w:rPr>
                <w:rFonts w:ascii="Syntax" w:hAnsi="Syntax"/>
                <w:sz w:val="20"/>
                <w:szCs w:val="20"/>
                <w:lang w:val="en-NZ" w:eastAsia="en-NZ"/>
              </w:rPr>
              <w:t>Streetrace</w:t>
            </w:r>
            <w:proofErr w:type="spellEnd"/>
            <w:r w:rsidRPr="001B1CAB">
              <w:rPr>
                <w:rFonts w:ascii="Syntax" w:hAnsi="Syntax"/>
                <w:sz w:val="20"/>
                <w:szCs w:val="20"/>
                <w:lang w:val="en-NZ" w:eastAsia="en-NZ"/>
              </w:rPr>
              <w:t xml:space="preserve"> Management</w:t>
            </w:r>
          </w:p>
        </w:tc>
        <w:tc>
          <w:tcPr>
            <w:tcW w:w="1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1,421,000</w:t>
            </w:r>
          </w:p>
        </w:tc>
      </w:tr>
      <w:tr w:rsidR="00AB1C48" w:rsidRPr="001B1CAB" w:rsidTr="001B1CAB">
        <w:trPr>
          <w:trHeight w:val="300"/>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Tyre stacks used along the race track</w:t>
            </w:r>
          </w:p>
        </w:tc>
        <w:tc>
          <w:tcPr>
            <w:tcW w:w="1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233,000</w:t>
            </w:r>
          </w:p>
        </w:tc>
      </w:tr>
      <w:tr w:rsidR="00AB1C48" w:rsidRPr="001B1CAB" w:rsidTr="001B1CAB">
        <w:trPr>
          <w:trHeight w:val="525"/>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 xml:space="preserve">Assets transferred from </w:t>
            </w:r>
            <w:proofErr w:type="spellStart"/>
            <w:r w:rsidRPr="001B1CAB">
              <w:rPr>
                <w:rFonts w:ascii="Syntax" w:hAnsi="Syntax"/>
                <w:sz w:val="20"/>
                <w:szCs w:val="20"/>
                <w:lang w:val="en-NZ" w:eastAsia="en-NZ"/>
              </w:rPr>
              <w:t>Caleta</w:t>
            </w:r>
            <w:proofErr w:type="spellEnd"/>
            <w:r w:rsidRPr="001B1CAB">
              <w:rPr>
                <w:rFonts w:ascii="Syntax" w:hAnsi="Syntax"/>
                <w:sz w:val="20"/>
                <w:szCs w:val="20"/>
                <w:lang w:val="en-NZ" w:eastAsia="en-NZ"/>
              </w:rPr>
              <w:t xml:space="preserve"> </w:t>
            </w:r>
            <w:proofErr w:type="spellStart"/>
            <w:r w:rsidRPr="001B1CAB">
              <w:rPr>
                <w:rFonts w:ascii="Syntax" w:hAnsi="Syntax"/>
                <w:sz w:val="20"/>
                <w:szCs w:val="20"/>
                <w:lang w:val="en-NZ" w:eastAsia="en-NZ"/>
              </w:rPr>
              <w:t>Streetrace</w:t>
            </w:r>
            <w:proofErr w:type="spellEnd"/>
            <w:r w:rsidRPr="001B1CAB">
              <w:rPr>
                <w:rFonts w:ascii="Syntax" w:hAnsi="Syntax"/>
                <w:sz w:val="20"/>
                <w:szCs w:val="20"/>
                <w:lang w:val="en-NZ" w:eastAsia="en-NZ"/>
              </w:rPr>
              <w:t xml:space="preserve"> Management to HCC (as part of debt write off)</w:t>
            </w:r>
          </w:p>
        </w:tc>
        <w:tc>
          <w:tcPr>
            <w:tcW w:w="1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160,000</w:t>
            </w:r>
          </w:p>
        </w:tc>
      </w:tr>
      <w:tr w:rsidR="00AB1C48" w:rsidRPr="001B1CAB" w:rsidTr="001B1CAB">
        <w:trPr>
          <w:trHeight w:val="300"/>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p>
        </w:tc>
        <w:tc>
          <w:tcPr>
            <w:tcW w:w="1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p>
        </w:tc>
        <w:tc>
          <w:tcPr>
            <w:tcW w:w="1156" w:type="dxa"/>
            <w:tcBorders>
              <w:top w:val="single" w:sz="4" w:space="0" w:color="auto"/>
              <w:left w:val="nil"/>
              <w:bottom w:val="single" w:sz="4" w:space="0" w:color="auto"/>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6,535,000</w:t>
            </w:r>
          </w:p>
        </w:tc>
      </w:tr>
      <w:tr w:rsidR="00AB1C48" w:rsidRPr="001B1CAB" w:rsidTr="001B1CAB">
        <w:trPr>
          <w:trHeight w:val="525"/>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Note:  These are the current book values of the assets and do not necessarily represent current market value.</w:t>
            </w:r>
          </w:p>
        </w:tc>
        <w:tc>
          <w:tcPr>
            <w:tcW w:w="1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r>
      <w:tr w:rsidR="00AB1C48" w:rsidRPr="001B1CAB" w:rsidTr="001B1CAB">
        <w:trPr>
          <w:trHeight w:val="300"/>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p>
        </w:tc>
        <w:tc>
          <w:tcPr>
            <w:tcW w:w="1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r>
      <w:tr w:rsidR="00AB1C48" w:rsidRPr="001B1CAB" w:rsidTr="001B1CAB">
        <w:trPr>
          <w:trHeight w:val="300"/>
        </w:trPr>
        <w:tc>
          <w:tcPr>
            <w:tcW w:w="7136" w:type="dxa"/>
            <w:tcBorders>
              <w:top w:val="nil"/>
              <w:left w:val="nil"/>
              <w:bottom w:val="nil"/>
              <w:right w:val="nil"/>
            </w:tcBorders>
            <w:shd w:val="clear" w:color="000000" w:fill="A5A5A5"/>
            <w:noWrap/>
            <w:vAlign w:val="bottom"/>
          </w:tcPr>
          <w:p w:rsidR="00AB1C48" w:rsidRPr="001B1CAB" w:rsidRDefault="00AB1C48" w:rsidP="001B1CAB">
            <w:pPr>
              <w:rPr>
                <w:rFonts w:ascii="Syntax" w:hAnsi="Syntax"/>
                <w:b/>
                <w:bCs/>
                <w:sz w:val="20"/>
                <w:szCs w:val="20"/>
                <w:lang w:val="en-NZ" w:eastAsia="en-NZ"/>
              </w:rPr>
            </w:pPr>
            <w:r w:rsidRPr="001B1CAB">
              <w:rPr>
                <w:rFonts w:ascii="Syntax" w:hAnsi="Syntax"/>
                <w:b/>
                <w:bCs/>
                <w:sz w:val="20"/>
                <w:szCs w:val="20"/>
                <w:lang w:val="en-NZ" w:eastAsia="en-NZ"/>
              </w:rPr>
              <w:t>Costs Paid by HCC related to the V8's</w:t>
            </w:r>
          </w:p>
        </w:tc>
        <w:tc>
          <w:tcPr>
            <w:tcW w:w="1136" w:type="dxa"/>
            <w:tcBorders>
              <w:top w:val="nil"/>
              <w:left w:val="nil"/>
              <w:bottom w:val="nil"/>
              <w:right w:val="nil"/>
            </w:tcBorders>
            <w:shd w:val="clear" w:color="000000" w:fill="A5A5A5"/>
            <w:noWrap/>
            <w:vAlign w:val="bottom"/>
          </w:tcPr>
          <w:p w:rsidR="00AB1C48" w:rsidRPr="001B1CAB" w:rsidRDefault="00AB1C48" w:rsidP="001B1CAB">
            <w:pPr>
              <w:rPr>
                <w:rFonts w:ascii="Syntax" w:hAnsi="Syntax"/>
                <w:b/>
                <w:bCs/>
                <w:sz w:val="20"/>
                <w:szCs w:val="20"/>
                <w:lang w:val="en-NZ" w:eastAsia="en-NZ"/>
              </w:rPr>
            </w:pPr>
            <w:r w:rsidRPr="001B1CAB">
              <w:rPr>
                <w:rFonts w:ascii="Syntax" w:hAnsi="Syntax"/>
                <w:b/>
                <w:bCs/>
                <w:sz w:val="20"/>
                <w:szCs w:val="20"/>
                <w:lang w:val="en-NZ" w:eastAsia="en-NZ"/>
              </w:rPr>
              <w:t> </w:t>
            </w:r>
          </w:p>
        </w:tc>
        <w:tc>
          <w:tcPr>
            <w:tcW w:w="1156" w:type="dxa"/>
            <w:tcBorders>
              <w:top w:val="nil"/>
              <w:left w:val="nil"/>
              <w:bottom w:val="nil"/>
              <w:right w:val="nil"/>
            </w:tcBorders>
            <w:shd w:val="clear" w:color="000000" w:fill="A5A5A5"/>
            <w:noWrap/>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 </w:t>
            </w:r>
          </w:p>
        </w:tc>
      </w:tr>
      <w:tr w:rsidR="00AB1C48" w:rsidRPr="001B1CAB" w:rsidTr="001B1CAB">
        <w:trPr>
          <w:trHeight w:val="525"/>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Costs incurred because of the loss of Waikato Stadium No.2 ground and interference use to Willoughby Park and Fraser Tech Park:</w:t>
            </w:r>
          </w:p>
        </w:tc>
        <w:tc>
          <w:tcPr>
            <w:tcW w:w="1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r>
      <w:tr w:rsidR="00AB1C48" w:rsidRPr="001B1CAB" w:rsidTr="001B1CAB">
        <w:trPr>
          <w:trHeight w:val="300"/>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 xml:space="preserve">- </w:t>
            </w:r>
            <w:proofErr w:type="spellStart"/>
            <w:r w:rsidRPr="001B1CAB">
              <w:rPr>
                <w:rFonts w:ascii="Syntax" w:hAnsi="Syntax"/>
                <w:sz w:val="20"/>
                <w:szCs w:val="20"/>
                <w:lang w:val="en-NZ" w:eastAsia="en-NZ"/>
              </w:rPr>
              <w:t>Beetham</w:t>
            </w:r>
            <w:proofErr w:type="spellEnd"/>
            <w:r w:rsidRPr="001B1CAB">
              <w:rPr>
                <w:rFonts w:ascii="Syntax" w:hAnsi="Syntax"/>
                <w:sz w:val="20"/>
                <w:szCs w:val="20"/>
                <w:lang w:val="en-NZ" w:eastAsia="en-NZ"/>
              </w:rPr>
              <w:t xml:space="preserve"> Park upgrade</w:t>
            </w:r>
          </w:p>
        </w:tc>
        <w:tc>
          <w:tcPr>
            <w:tcW w:w="1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1,813,000</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 Fred Jones Park upgrade</w:t>
            </w:r>
          </w:p>
        </w:tc>
        <w:tc>
          <w:tcPr>
            <w:tcW w:w="1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25,000</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 Irrigation equipment &amp; temporary fencing at Fred Jones Park</w:t>
            </w:r>
          </w:p>
        </w:tc>
        <w:tc>
          <w:tcPr>
            <w:tcW w:w="1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16,000</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 New fencing on Mill St side of Waikato Stadium</w:t>
            </w:r>
          </w:p>
        </w:tc>
        <w:tc>
          <w:tcPr>
            <w:tcW w:w="1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78,000</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 New lights for Elliot Park for Fraser Tech Rugby Club</w:t>
            </w:r>
          </w:p>
        </w:tc>
        <w:tc>
          <w:tcPr>
            <w:tcW w:w="1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145,567</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 New lights for Steele Park for Old Boys Rugby Club</w:t>
            </w:r>
          </w:p>
        </w:tc>
        <w:tc>
          <w:tcPr>
            <w:tcW w:w="1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39,345</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c>
          <w:tcPr>
            <w:tcW w:w="1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Bowling green turf renewal</w:t>
            </w:r>
          </w:p>
        </w:tc>
        <w:tc>
          <w:tcPr>
            <w:tcW w:w="1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152,000</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Frankton beautification ($50,000 split over 2 years 2010/11 &amp; 2011/12)</w:t>
            </w:r>
          </w:p>
        </w:tc>
        <w:tc>
          <w:tcPr>
            <w:tcW w:w="1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c>
          <w:tcPr>
            <w:tcW w:w="1156" w:type="dxa"/>
            <w:tcBorders>
              <w:top w:val="nil"/>
              <w:left w:val="nil"/>
              <w:bottom w:val="single" w:sz="4" w:space="0" w:color="auto"/>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25,000</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r w:rsidRPr="001B1CAB">
              <w:rPr>
                <w:rFonts w:ascii="Syntax" w:hAnsi="Syntax"/>
                <w:b/>
                <w:bCs/>
                <w:sz w:val="20"/>
                <w:szCs w:val="20"/>
                <w:lang w:val="en-NZ" w:eastAsia="en-NZ"/>
              </w:rPr>
              <w:t>Total Costs</w:t>
            </w:r>
          </w:p>
        </w:tc>
        <w:tc>
          <w:tcPr>
            <w:tcW w:w="1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2,293,912</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p>
        </w:tc>
        <w:tc>
          <w:tcPr>
            <w:tcW w:w="1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r w:rsidRPr="001B1CAB">
              <w:rPr>
                <w:rFonts w:ascii="Syntax" w:hAnsi="Syntax"/>
                <w:b/>
                <w:bCs/>
                <w:sz w:val="20"/>
                <w:szCs w:val="20"/>
                <w:lang w:val="en-NZ" w:eastAsia="en-NZ"/>
              </w:rPr>
              <w:t>Funded by</w:t>
            </w:r>
          </w:p>
        </w:tc>
        <w:tc>
          <w:tcPr>
            <w:tcW w:w="1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r>
      <w:tr w:rsidR="00AB1C48" w:rsidRPr="001B1CAB" w:rsidTr="001B1CAB">
        <w:trPr>
          <w:trHeight w:val="300"/>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Borrowed from the bank and repaid by rates (</w:t>
            </w:r>
            <w:proofErr w:type="spellStart"/>
            <w:r w:rsidRPr="001B1CAB">
              <w:rPr>
                <w:rFonts w:ascii="Syntax" w:hAnsi="Syntax"/>
                <w:sz w:val="20"/>
                <w:szCs w:val="20"/>
                <w:lang w:val="en-NZ" w:eastAsia="en-NZ"/>
              </w:rPr>
              <w:t>Beetham</w:t>
            </w:r>
            <w:proofErr w:type="spellEnd"/>
            <w:r w:rsidRPr="001B1CAB">
              <w:rPr>
                <w:rFonts w:ascii="Syntax" w:hAnsi="Syntax"/>
                <w:sz w:val="20"/>
                <w:szCs w:val="20"/>
                <w:lang w:val="en-NZ" w:eastAsia="en-NZ"/>
              </w:rPr>
              <w:t xml:space="preserve"> Park)</w:t>
            </w:r>
          </w:p>
        </w:tc>
        <w:tc>
          <w:tcPr>
            <w:tcW w:w="1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1,813,000</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Paid from operating budgets directly funded by rates</w:t>
            </w:r>
          </w:p>
        </w:tc>
        <w:tc>
          <w:tcPr>
            <w:tcW w:w="1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c>
          <w:tcPr>
            <w:tcW w:w="1156" w:type="dxa"/>
            <w:tcBorders>
              <w:top w:val="nil"/>
              <w:left w:val="nil"/>
              <w:bottom w:val="single" w:sz="4" w:space="0" w:color="auto"/>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480,912</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r w:rsidRPr="001B1CAB">
              <w:rPr>
                <w:rFonts w:ascii="Syntax" w:hAnsi="Syntax"/>
                <w:b/>
                <w:bCs/>
                <w:sz w:val="20"/>
                <w:szCs w:val="20"/>
                <w:lang w:val="en-NZ" w:eastAsia="en-NZ"/>
              </w:rPr>
              <w:t>Total</w:t>
            </w:r>
          </w:p>
        </w:tc>
        <w:tc>
          <w:tcPr>
            <w:tcW w:w="1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2,293,912</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p>
        </w:tc>
        <w:tc>
          <w:tcPr>
            <w:tcW w:w="1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r>
      <w:tr w:rsidR="00AB1C48" w:rsidRPr="001B1CAB" w:rsidTr="001B1CAB">
        <w:trPr>
          <w:trHeight w:val="600"/>
        </w:trPr>
        <w:tc>
          <w:tcPr>
            <w:tcW w:w="9428" w:type="dxa"/>
            <w:gridSpan w:val="3"/>
            <w:tcBorders>
              <w:top w:val="nil"/>
              <w:left w:val="nil"/>
              <w:bottom w:val="nil"/>
              <w:right w:val="nil"/>
            </w:tcBorders>
            <w:vAlign w:val="bottom"/>
          </w:tcPr>
          <w:p w:rsidR="00AB1C48" w:rsidRPr="001B1CAB" w:rsidRDefault="00AB1C48" w:rsidP="001B1CAB">
            <w:pPr>
              <w:jc w:val="both"/>
              <w:rPr>
                <w:rFonts w:ascii="Syntax" w:hAnsi="Syntax"/>
                <w:sz w:val="20"/>
                <w:szCs w:val="20"/>
                <w:lang w:val="en-NZ" w:eastAsia="en-NZ"/>
              </w:rPr>
            </w:pPr>
            <w:r w:rsidRPr="001B1CAB">
              <w:rPr>
                <w:rFonts w:ascii="Syntax" w:hAnsi="Syntax"/>
                <w:sz w:val="20"/>
                <w:szCs w:val="20"/>
                <w:lang w:val="en-NZ" w:eastAsia="en-NZ"/>
              </w:rPr>
              <w:t xml:space="preserve">The </w:t>
            </w:r>
            <w:proofErr w:type="spellStart"/>
            <w:r w:rsidRPr="001B1CAB">
              <w:rPr>
                <w:rFonts w:ascii="Syntax" w:hAnsi="Syntax"/>
                <w:sz w:val="20"/>
                <w:szCs w:val="20"/>
                <w:lang w:val="en-NZ" w:eastAsia="en-NZ"/>
              </w:rPr>
              <w:t>orginal</w:t>
            </w:r>
            <w:proofErr w:type="spellEnd"/>
            <w:r w:rsidRPr="001B1CAB">
              <w:rPr>
                <w:rFonts w:ascii="Syntax" w:hAnsi="Syntax"/>
                <w:sz w:val="20"/>
                <w:szCs w:val="20"/>
                <w:lang w:val="en-NZ" w:eastAsia="en-NZ"/>
              </w:rPr>
              <w:t xml:space="preserve"> resource consent for the Waikato Stadium required modifications to the No.2 ground, which would have been required to be completed in the future. The V8 event triggered this redevelopment.</w:t>
            </w:r>
          </w:p>
        </w:tc>
      </w:tr>
      <w:tr w:rsidR="00AB1C48" w:rsidRPr="001B1CAB" w:rsidTr="001B1CAB">
        <w:trPr>
          <w:trHeight w:val="315"/>
        </w:trPr>
        <w:tc>
          <w:tcPr>
            <w:tcW w:w="7136" w:type="dxa"/>
            <w:tcBorders>
              <w:top w:val="nil"/>
              <w:left w:val="nil"/>
              <w:bottom w:val="nil"/>
              <w:right w:val="nil"/>
            </w:tcBorders>
            <w:vAlign w:val="bottom"/>
          </w:tcPr>
          <w:p w:rsidR="00AB1C48" w:rsidRPr="001B1CAB" w:rsidRDefault="00AB1C48" w:rsidP="001B1CAB">
            <w:pPr>
              <w:jc w:val="both"/>
              <w:rPr>
                <w:rFonts w:ascii="Syntax" w:hAnsi="Syntax"/>
                <w:sz w:val="20"/>
                <w:szCs w:val="20"/>
                <w:lang w:val="en-NZ" w:eastAsia="en-NZ"/>
              </w:rPr>
            </w:pPr>
          </w:p>
        </w:tc>
        <w:tc>
          <w:tcPr>
            <w:tcW w:w="1136" w:type="dxa"/>
            <w:tcBorders>
              <w:top w:val="nil"/>
              <w:left w:val="nil"/>
              <w:bottom w:val="nil"/>
              <w:right w:val="nil"/>
            </w:tcBorders>
            <w:vAlign w:val="bottom"/>
          </w:tcPr>
          <w:p w:rsidR="00AB1C48" w:rsidRPr="001B1CAB" w:rsidRDefault="00AB1C48" w:rsidP="001B1CAB">
            <w:pPr>
              <w:jc w:val="both"/>
              <w:rPr>
                <w:rFonts w:ascii="Syntax" w:hAnsi="Syntax"/>
                <w:sz w:val="20"/>
                <w:szCs w:val="20"/>
                <w:lang w:val="en-NZ" w:eastAsia="en-NZ"/>
              </w:rPr>
            </w:pPr>
          </w:p>
        </w:tc>
        <w:tc>
          <w:tcPr>
            <w:tcW w:w="1156" w:type="dxa"/>
            <w:tcBorders>
              <w:top w:val="nil"/>
              <w:left w:val="nil"/>
              <w:bottom w:val="nil"/>
              <w:right w:val="nil"/>
            </w:tcBorders>
            <w:vAlign w:val="bottom"/>
          </w:tcPr>
          <w:p w:rsidR="00AB1C48" w:rsidRPr="001B1CAB" w:rsidRDefault="00AB1C48" w:rsidP="001B1CAB">
            <w:pPr>
              <w:jc w:val="both"/>
              <w:rPr>
                <w:rFonts w:ascii="Syntax" w:hAnsi="Syntax"/>
                <w:sz w:val="20"/>
                <w:szCs w:val="20"/>
                <w:lang w:val="en-NZ" w:eastAsia="en-NZ"/>
              </w:rPr>
            </w:pPr>
          </w:p>
        </w:tc>
      </w:tr>
      <w:tr w:rsidR="00AB1C48" w:rsidRPr="001B1CAB" w:rsidTr="001B1CAB">
        <w:trPr>
          <w:trHeight w:val="525"/>
        </w:trPr>
        <w:tc>
          <w:tcPr>
            <w:tcW w:w="7136" w:type="dxa"/>
            <w:tcBorders>
              <w:top w:val="nil"/>
              <w:left w:val="nil"/>
              <w:bottom w:val="nil"/>
              <w:right w:val="nil"/>
            </w:tcBorders>
            <w:vAlign w:val="bottom"/>
          </w:tcPr>
          <w:p w:rsidR="00AB1C48" w:rsidRDefault="00AB1C48" w:rsidP="001B1CAB">
            <w:pPr>
              <w:rPr>
                <w:rFonts w:ascii="Syntax" w:hAnsi="Syntax"/>
                <w:sz w:val="20"/>
                <w:szCs w:val="20"/>
                <w:lang w:val="en-NZ" w:eastAsia="en-NZ"/>
              </w:rPr>
            </w:pPr>
            <w:r w:rsidRPr="001B1CAB">
              <w:rPr>
                <w:rFonts w:ascii="Syntax" w:hAnsi="Syntax"/>
                <w:sz w:val="20"/>
                <w:szCs w:val="20"/>
                <w:lang w:val="en-NZ" w:eastAsia="en-NZ"/>
              </w:rPr>
              <w:t>The pit lane sculpture "Passing Red" was generously paid for by a $150,000 grant from the Perry Foundation.</w:t>
            </w:r>
          </w:p>
          <w:p w:rsidR="00AB1C48" w:rsidRDefault="00AB1C48" w:rsidP="001B1CAB">
            <w:pPr>
              <w:rPr>
                <w:rFonts w:ascii="Syntax" w:hAnsi="Syntax"/>
                <w:sz w:val="20"/>
                <w:szCs w:val="20"/>
                <w:lang w:val="en-NZ" w:eastAsia="en-NZ"/>
              </w:rPr>
            </w:pPr>
          </w:p>
          <w:p w:rsidR="00AB1C48" w:rsidRDefault="00AB1C48" w:rsidP="001B1CAB">
            <w:pPr>
              <w:rPr>
                <w:rFonts w:ascii="Syntax" w:hAnsi="Syntax"/>
                <w:sz w:val="20"/>
                <w:szCs w:val="20"/>
                <w:lang w:val="en-NZ" w:eastAsia="en-NZ"/>
              </w:rPr>
            </w:pPr>
          </w:p>
          <w:p w:rsidR="00AB1C48" w:rsidRDefault="00AB1C48" w:rsidP="001B1CAB">
            <w:pPr>
              <w:rPr>
                <w:rFonts w:ascii="Syntax" w:hAnsi="Syntax"/>
                <w:sz w:val="20"/>
                <w:szCs w:val="20"/>
                <w:lang w:val="en-NZ" w:eastAsia="en-NZ"/>
              </w:rPr>
            </w:pPr>
          </w:p>
          <w:p w:rsidR="00AB1C48" w:rsidRDefault="00AB1C48" w:rsidP="001B1CAB">
            <w:pPr>
              <w:rPr>
                <w:rFonts w:ascii="Syntax" w:hAnsi="Syntax"/>
                <w:sz w:val="20"/>
                <w:szCs w:val="20"/>
                <w:lang w:val="en-NZ" w:eastAsia="en-NZ"/>
              </w:rPr>
            </w:pPr>
          </w:p>
          <w:p w:rsidR="00AB1C48" w:rsidRDefault="00AB1C48" w:rsidP="001B1CAB">
            <w:pPr>
              <w:rPr>
                <w:rFonts w:ascii="Syntax" w:hAnsi="Syntax"/>
                <w:sz w:val="20"/>
                <w:szCs w:val="20"/>
                <w:lang w:val="en-NZ" w:eastAsia="en-NZ"/>
              </w:rPr>
            </w:pPr>
          </w:p>
          <w:p w:rsidR="00AB1C48" w:rsidRDefault="00AB1C48" w:rsidP="001B1CAB">
            <w:pPr>
              <w:rPr>
                <w:rFonts w:ascii="Syntax" w:hAnsi="Syntax"/>
                <w:sz w:val="20"/>
                <w:szCs w:val="20"/>
                <w:lang w:val="en-NZ" w:eastAsia="en-NZ"/>
              </w:rPr>
            </w:pPr>
          </w:p>
          <w:p w:rsidR="00AB1C48" w:rsidRDefault="00AB1C48" w:rsidP="001B1CAB">
            <w:pPr>
              <w:rPr>
                <w:rFonts w:ascii="Syntax" w:hAnsi="Syntax"/>
                <w:sz w:val="20"/>
                <w:szCs w:val="20"/>
                <w:lang w:val="en-NZ" w:eastAsia="en-NZ"/>
              </w:rPr>
            </w:pPr>
          </w:p>
          <w:p w:rsidR="00AB1C48" w:rsidRPr="001B1CAB" w:rsidRDefault="00AB1C48" w:rsidP="001B1CAB">
            <w:pPr>
              <w:rPr>
                <w:rFonts w:ascii="Syntax" w:hAnsi="Syntax"/>
                <w:sz w:val="20"/>
                <w:szCs w:val="20"/>
                <w:lang w:val="en-NZ" w:eastAsia="en-NZ"/>
              </w:rPr>
            </w:pPr>
          </w:p>
        </w:tc>
        <w:tc>
          <w:tcPr>
            <w:tcW w:w="1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r>
      <w:tr w:rsidR="00AB1C48" w:rsidRPr="001B1CAB" w:rsidTr="001B1CAB">
        <w:trPr>
          <w:trHeight w:val="300"/>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p>
        </w:tc>
        <w:tc>
          <w:tcPr>
            <w:tcW w:w="1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r>
      <w:tr w:rsidR="00AB1C48" w:rsidRPr="001B1CAB" w:rsidTr="001B1CAB">
        <w:trPr>
          <w:trHeight w:val="300"/>
        </w:trPr>
        <w:tc>
          <w:tcPr>
            <w:tcW w:w="7136" w:type="dxa"/>
            <w:tcBorders>
              <w:top w:val="nil"/>
              <w:left w:val="nil"/>
              <w:bottom w:val="nil"/>
              <w:right w:val="nil"/>
            </w:tcBorders>
            <w:shd w:val="clear" w:color="000000" w:fill="A5A5A5"/>
            <w:noWrap/>
            <w:vAlign w:val="bottom"/>
          </w:tcPr>
          <w:p w:rsidR="00AB1C48" w:rsidRPr="001B1CAB" w:rsidRDefault="00AB1C48" w:rsidP="001B1CAB">
            <w:pPr>
              <w:rPr>
                <w:rFonts w:ascii="Syntax" w:hAnsi="Syntax"/>
                <w:b/>
                <w:bCs/>
                <w:sz w:val="20"/>
                <w:szCs w:val="20"/>
                <w:lang w:val="en-NZ" w:eastAsia="en-NZ"/>
              </w:rPr>
            </w:pPr>
            <w:r w:rsidRPr="001B1CAB">
              <w:rPr>
                <w:rFonts w:ascii="Syntax" w:hAnsi="Syntax"/>
                <w:b/>
                <w:bCs/>
                <w:sz w:val="20"/>
                <w:szCs w:val="20"/>
                <w:lang w:val="en-NZ" w:eastAsia="en-NZ"/>
              </w:rPr>
              <w:t>Annual operating costs of the V8 event</w:t>
            </w:r>
          </w:p>
        </w:tc>
        <w:tc>
          <w:tcPr>
            <w:tcW w:w="1136" w:type="dxa"/>
            <w:tcBorders>
              <w:top w:val="nil"/>
              <w:left w:val="nil"/>
              <w:bottom w:val="nil"/>
              <w:right w:val="nil"/>
            </w:tcBorders>
            <w:shd w:val="clear" w:color="000000" w:fill="A5A5A5"/>
            <w:noWrap/>
            <w:vAlign w:val="bottom"/>
          </w:tcPr>
          <w:p w:rsidR="00AB1C48" w:rsidRPr="001B1CAB" w:rsidRDefault="00AB1C48" w:rsidP="001B1CAB">
            <w:pPr>
              <w:rPr>
                <w:rFonts w:ascii="Syntax" w:hAnsi="Syntax"/>
                <w:b/>
                <w:bCs/>
                <w:sz w:val="20"/>
                <w:szCs w:val="20"/>
                <w:lang w:val="en-NZ" w:eastAsia="en-NZ"/>
              </w:rPr>
            </w:pPr>
            <w:r w:rsidRPr="001B1CAB">
              <w:rPr>
                <w:rFonts w:ascii="Syntax" w:hAnsi="Syntax"/>
                <w:b/>
                <w:bCs/>
                <w:sz w:val="20"/>
                <w:szCs w:val="20"/>
                <w:lang w:val="en-NZ" w:eastAsia="en-NZ"/>
              </w:rPr>
              <w:t> </w:t>
            </w:r>
          </w:p>
        </w:tc>
        <w:tc>
          <w:tcPr>
            <w:tcW w:w="1156" w:type="dxa"/>
            <w:tcBorders>
              <w:top w:val="nil"/>
              <w:left w:val="nil"/>
              <w:bottom w:val="nil"/>
              <w:right w:val="nil"/>
            </w:tcBorders>
            <w:shd w:val="clear" w:color="000000" w:fill="A5A5A5"/>
            <w:noWrap/>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 </w:t>
            </w:r>
          </w:p>
        </w:tc>
      </w:tr>
      <w:tr w:rsidR="00AB1C48" w:rsidRPr="001B1CAB" w:rsidTr="001B1CAB">
        <w:trPr>
          <w:trHeight w:val="810"/>
        </w:trPr>
        <w:tc>
          <w:tcPr>
            <w:tcW w:w="7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p>
        </w:tc>
        <w:tc>
          <w:tcPr>
            <w:tcW w:w="1136" w:type="dxa"/>
            <w:tcBorders>
              <w:top w:val="nil"/>
              <w:left w:val="nil"/>
              <w:bottom w:val="single" w:sz="4" w:space="0" w:color="auto"/>
              <w:right w:val="nil"/>
            </w:tcBorders>
            <w:vAlign w:val="bottom"/>
          </w:tcPr>
          <w:p w:rsidR="00AB1C48" w:rsidRPr="001B1CAB" w:rsidRDefault="00AB1C48" w:rsidP="001B1CAB">
            <w:pPr>
              <w:jc w:val="center"/>
              <w:rPr>
                <w:rFonts w:ascii="Syntax" w:hAnsi="Syntax"/>
                <w:b/>
                <w:bCs/>
                <w:sz w:val="20"/>
                <w:szCs w:val="20"/>
                <w:lang w:val="en-NZ" w:eastAsia="en-NZ"/>
              </w:rPr>
            </w:pPr>
            <w:r w:rsidRPr="001B1CAB">
              <w:rPr>
                <w:rFonts w:ascii="Syntax" w:hAnsi="Syntax"/>
                <w:b/>
                <w:bCs/>
                <w:sz w:val="20"/>
                <w:szCs w:val="20"/>
                <w:lang w:val="en-NZ" w:eastAsia="en-NZ"/>
              </w:rPr>
              <w:t>Prior years 3 events - 2008/09/10</w:t>
            </w:r>
          </w:p>
        </w:tc>
        <w:tc>
          <w:tcPr>
            <w:tcW w:w="1156" w:type="dxa"/>
            <w:tcBorders>
              <w:top w:val="nil"/>
              <w:left w:val="nil"/>
              <w:bottom w:val="single" w:sz="4" w:space="0" w:color="auto"/>
              <w:right w:val="nil"/>
            </w:tcBorders>
            <w:noWrap/>
            <w:vAlign w:val="bottom"/>
          </w:tcPr>
          <w:p w:rsidR="00AB1C48" w:rsidRPr="001B1CAB" w:rsidRDefault="00AB1C48" w:rsidP="001B1CAB">
            <w:pPr>
              <w:jc w:val="center"/>
              <w:rPr>
                <w:rFonts w:ascii="Syntax" w:hAnsi="Syntax"/>
                <w:b/>
                <w:bCs/>
                <w:sz w:val="20"/>
                <w:szCs w:val="20"/>
                <w:lang w:val="en-NZ" w:eastAsia="en-NZ"/>
              </w:rPr>
            </w:pPr>
            <w:r w:rsidRPr="001B1CAB">
              <w:rPr>
                <w:rFonts w:ascii="Syntax" w:hAnsi="Syntax"/>
                <w:b/>
                <w:bCs/>
                <w:sz w:val="20"/>
                <w:szCs w:val="20"/>
                <w:lang w:val="en-NZ" w:eastAsia="en-NZ"/>
              </w:rPr>
              <w:t>2010/11</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Advertising and marketing</w:t>
            </w:r>
          </w:p>
        </w:tc>
        <w:tc>
          <w:tcPr>
            <w:tcW w:w="113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513,700</w:t>
            </w: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100,000</w:t>
            </w:r>
          </w:p>
        </w:tc>
      </w:tr>
      <w:tr w:rsidR="00AB1C48" w:rsidRPr="001B1CAB" w:rsidTr="001B1CAB">
        <w:trPr>
          <w:trHeight w:val="525"/>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proofErr w:type="spellStart"/>
            <w:r w:rsidRPr="001B1CAB">
              <w:rPr>
                <w:rFonts w:ascii="Syntax" w:hAnsi="Syntax"/>
                <w:sz w:val="20"/>
                <w:szCs w:val="20"/>
                <w:lang w:val="en-NZ" w:eastAsia="en-NZ"/>
              </w:rPr>
              <w:t>Claudelands</w:t>
            </w:r>
            <w:proofErr w:type="spellEnd"/>
            <w:r w:rsidRPr="001B1CAB">
              <w:rPr>
                <w:rFonts w:ascii="Syntax" w:hAnsi="Syntax"/>
                <w:sz w:val="20"/>
                <w:szCs w:val="20"/>
                <w:lang w:val="en-NZ" w:eastAsia="en-NZ"/>
              </w:rPr>
              <w:t xml:space="preserve"> Campground operating costs - year 1 set up costs (cancelled after the 2008 event due to low numbers)</w:t>
            </w:r>
          </w:p>
        </w:tc>
        <w:tc>
          <w:tcPr>
            <w:tcW w:w="113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74,000</w:t>
            </w: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w:t>
            </w:r>
          </w:p>
        </w:tc>
      </w:tr>
      <w:tr w:rsidR="00AB1C48" w:rsidRPr="001B1CAB" w:rsidTr="001B1CAB">
        <w:trPr>
          <w:trHeight w:val="525"/>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 xml:space="preserve">Concert costs - </w:t>
            </w:r>
            <w:proofErr w:type="spellStart"/>
            <w:r w:rsidRPr="001B1CAB">
              <w:rPr>
                <w:rFonts w:ascii="Syntax" w:hAnsi="Syntax"/>
                <w:sz w:val="20"/>
                <w:szCs w:val="20"/>
                <w:lang w:val="en-NZ" w:eastAsia="en-NZ"/>
              </w:rPr>
              <w:t>hireage</w:t>
            </w:r>
            <w:proofErr w:type="spellEnd"/>
            <w:r w:rsidRPr="001B1CAB">
              <w:rPr>
                <w:rFonts w:ascii="Syntax" w:hAnsi="Syntax"/>
                <w:sz w:val="20"/>
                <w:szCs w:val="20"/>
                <w:lang w:val="en-NZ" w:eastAsia="en-NZ"/>
              </w:rPr>
              <w:t xml:space="preserve"> of ground, field protection &amp; reinstatement, &amp; noise monitoring ($150,000 allowed for in the budget)</w:t>
            </w:r>
          </w:p>
        </w:tc>
        <w:tc>
          <w:tcPr>
            <w:tcW w:w="113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w:t>
            </w: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85,000</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Economic impact study &amp; event review  (consultant costs) - year 1 only</w:t>
            </w:r>
          </w:p>
        </w:tc>
        <w:tc>
          <w:tcPr>
            <w:tcW w:w="113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95,600</w:t>
            </w: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w:t>
            </w:r>
          </w:p>
        </w:tc>
      </w:tr>
      <w:tr w:rsidR="00AB1C48" w:rsidRPr="001B1CAB" w:rsidTr="001B1CAB">
        <w:trPr>
          <w:trHeight w:val="525"/>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Equipment hire (generators &amp; lighting at the Frankton V8 yard and temporary lights at Stan Heather Park in Melville for Old Boys Rugby Club) - year 1 only</w:t>
            </w:r>
          </w:p>
        </w:tc>
        <w:tc>
          <w:tcPr>
            <w:tcW w:w="113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427,900</w:t>
            </w: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 xml:space="preserve">Equipment maintenance - repairs to V8 infrastructure </w:t>
            </w:r>
            <w:proofErr w:type="spellStart"/>
            <w:r w:rsidRPr="001B1CAB">
              <w:rPr>
                <w:rFonts w:ascii="Syntax" w:hAnsi="Syntax"/>
                <w:sz w:val="20"/>
                <w:szCs w:val="20"/>
                <w:lang w:val="en-NZ" w:eastAsia="en-NZ"/>
              </w:rPr>
              <w:t>eg</w:t>
            </w:r>
            <w:proofErr w:type="spellEnd"/>
            <w:r w:rsidRPr="001B1CAB">
              <w:rPr>
                <w:rFonts w:ascii="Syntax" w:hAnsi="Syntax"/>
                <w:sz w:val="20"/>
                <w:szCs w:val="20"/>
                <w:lang w:val="en-NZ" w:eastAsia="en-NZ"/>
              </w:rPr>
              <w:t>; pit lane</w:t>
            </w:r>
          </w:p>
        </w:tc>
        <w:tc>
          <w:tcPr>
            <w:tcW w:w="113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201,100</w:t>
            </w: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60,000</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Feasibility report costs - year 1 only</w:t>
            </w:r>
          </w:p>
        </w:tc>
        <w:tc>
          <w:tcPr>
            <w:tcW w:w="113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77,000</w:t>
            </w: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Ground maintenance - parks and gardens</w:t>
            </w:r>
          </w:p>
        </w:tc>
        <w:tc>
          <w:tcPr>
            <w:tcW w:w="113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162,900</w:t>
            </w: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64,000</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Insurance</w:t>
            </w:r>
          </w:p>
        </w:tc>
        <w:tc>
          <w:tcPr>
            <w:tcW w:w="113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59,400</w:t>
            </w: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5,000</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Project Management - costs for HCC staff involved in the event</w:t>
            </w:r>
          </w:p>
        </w:tc>
        <w:tc>
          <w:tcPr>
            <w:tcW w:w="113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285,000</w:t>
            </w: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72,000</w:t>
            </w:r>
          </w:p>
        </w:tc>
      </w:tr>
      <w:tr w:rsidR="00AB1C48" w:rsidRPr="001B1CAB" w:rsidTr="001B1CAB">
        <w:trPr>
          <w:trHeight w:val="300"/>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Race accreditation (with FIA) &amp; event monitoring (a resource consent requirement)</w:t>
            </w:r>
          </w:p>
        </w:tc>
        <w:tc>
          <w:tcPr>
            <w:tcW w:w="113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71,100</w:t>
            </w: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46,000</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Security fencing rental</w:t>
            </w:r>
          </w:p>
        </w:tc>
        <w:tc>
          <w:tcPr>
            <w:tcW w:w="113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450,000</w:t>
            </w: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150,000</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Security for Frankton yard - year 1 only (now have electric fence)</w:t>
            </w:r>
          </w:p>
        </w:tc>
        <w:tc>
          <w:tcPr>
            <w:tcW w:w="113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136,000</w:t>
            </w: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Site rental for Frankton yard - for storage of track infrastructure</w:t>
            </w:r>
          </w:p>
        </w:tc>
        <w:tc>
          <w:tcPr>
            <w:tcW w:w="113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778,300</w:t>
            </w: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241,000</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Tidy up of Frankton - year 1 only</w:t>
            </w:r>
          </w:p>
        </w:tc>
        <w:tc>
          <w:tcPr>
            <w:tcW w:w="113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33,100</w:t>
            </w: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Traffic Management Plan - year 1 only</w:t>
            </w:r>
          </w:p>
        </w:tc>
        <w:tc>
          <w:tcPr>
            <w:tcW w:w="113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82,700</w:t>
            </w: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Event sponsorship fund used to repay V8 reserve debt</w:t>
            </w:r>
          </w:p>
        </w:tc>
        <w:tc>
          <w:tcPr>
            <w:tcW w:w="113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w:t>
            </w: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150,000</w:t>
            </w:r>
          </w:p>
        </w:tc>
      </w:tr>
      <w:tr w:rsidR="00AB1C48" w:rsidRPr="001B1CAB" w:rsidTr="001B1CAB">
        <w:trPr>
          <w:trHeight w:val="525"/>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Transportation costs - removal &amp; reinstatement of road markings, temporary kerbing, roundabouts, and traffic signals</w:t>
            </w:r>
          </w:p>
        </w:tc>
        <w:tc>
          <w:tcPr>
            <w:tcW w:w="113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303,900</w:t>
            </w: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160,000</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r w:rsidRPr="001B1CAB">
              <w:rPr>
                <w:rFonts w:ascii="Syntax" w:hAnsi="Syntax"/>
                <w:b/>
                <w:bCs/>
                <w:sz w:val="20"/>
                <w:szCs w:val="20"/>
                <w:lang w:val="en-NZ" w:eastAsia="en-NZ"/>
              </w:rPr>
              <w:t>Total operating cost *</w:t>
            </w:r>
          </w:p>
        </w:tc>
        <w:tc>
          <w:tcPr>
            <w:tcW w:w="1136" w:type="dxa"/>
            <w:tcBorders>
              <w:top w:val="single" w:sz="4" w:space="0" w:color="auto"/>
              <w:left w:val="nil"/>
              <w:bottom w:val="single" w:sz="4" w:space="0" w:color="auto"/>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3,751,700</w:t>
            </w:r>
          </w:p>
        </w:tc>
        <w:tc>
          <w:tcPr>
            <w:tcW w:w="1156" w:type="dxa"/>
            <w:tcBorders>
              <w:top w:val="single" w:sz="4" w:space="0" w:color="auto"/>
              <w:left w:val="nil"/>
              <w:bottom w:val="single" w:sz="4" w:space="0" w:color="auto"/>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1,133,000</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p>
        </w:tc>
        <w:tc>
          <w:tcPr>
            <w:tcW w:w="1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r w:rsidRPr="001B1CAB">
              <w:rPr>
                <w:rFonts w:ascii="Syntax" w:hAnsi="Syntax"/>
                <w:b/>
                <w:bCs/>
                <w:sz w:val="20"/>
                <w:szCs w:val="20"/>
                <w:lang w:val="en-NZ" w:eastAsia="en-NZ"/>
              </w:rPr>
              <w:t>Operating Revenue</w:t>
            </w:r>
          </w:p>
        </w:tc>
        <w:tc>
          <w:tcPr>
            <w:tcW w:w="1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r>
      <w:tr w:rsidR="00AB1C48" w:rsidRPr="001B1CAB" w:rsidTr="001B1CAB">
        <w:trPr>
          <w:trHeight w:val="300"/>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 xml:space="preserve">Revenue from </w:t>
            </w:r>
            <w:proofErr w:type="spellStart"/>
            <w:r w:rsidRPr="001B1CAB">
              <w:rPr>
                <w:rFonts w:ascii="Syntax" w:hAnsi="Syntax"/>
                <w:sz w:val="20"/>
                <w:szCs w:val="20"/>
                <w:lang w:val="en-NZ" w:eastAsia="en-NZ"/>
              </w:rPr>
              <w:t>Caleta</w:t>
            </w:r>
            <w:proofErr w:type="spellEnd"/>
            <w:r w:rsidRPr="001B1CAB">
              <w:rPr>
                <w:rFonts w:ascii="Syntax" w:hAnsi="Syntax"/>
                <w:sz w:val="20"/>
                <w:szCs w:val="20"/>
                <w:lang w:val="en-NZ" w:eastAsia="en-NZ"/>
              </w:rPr>
              <w:t xml:space="preserve"> </w:t>
            </w:r>
            <w:proofErr w:type="spellStart"/>
            <w:r w:rsidRPr="001B1CAB">
              <w:rPr>
                <w:rFonts w:ascii="Syntax" w:hAnsi="Syntax"/>
                <w:sz w:val="20"/>
                <w:szCs w:val="20"/>
                <w:lang w:val="en-NZ" w:eastAsia="en-NZ"/>
              </w:rPr>
              <w:t>Streetrace</w:t>
            </w:r>
            <w:proofErr w:type="spellEnd"/>
            <w:r w:rsidRPr="001B1CAB">
              <w:rPr>
                <w:rFonts w:ascii="Syntax" w:hAnsi="Syntax"/>
                <w:sz w:val="20"/>
                <w:szCs w:val="20"/>
                <w:lang w:val="en-NZ" w:eastAsia="en-NZ"/>
              </w:rPr>
              <w:t xml:space="preserve"> Management used to repay V8 reserve</w:t>
            </w:r>
          </w:p>
        </w:tc>
        <w:tc>
          <w:tcPr>
            <w:tcW w:w="113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2,894,000</w:t>
            </w: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w:t>
            </w:r>
          </w:p>
        </w:tc>
      </w:tr>
      <w:tr w:rsidR="00AB1C48" w:rsidRPr="001B1CAB" w:rsidTr="001B1CAB">
        <w:trPr>
          <w:trHeight w:val="300"/>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proofErr w:type="spellStart"/>
            <w:r w:rsidRPr="001B1CAB">
              <w:rPr>
                <w:rFonts w:ascii="Syntax" w:hAnsi="Syntax"/>
                <w:sz w:val="20"/>
                <w:szCs w:val="20"/>
                <w:lang w:val="en-NZ" w:eastAsia="en-NZ"/>
              </w:rPr>
              <w:t>Caleta</w:t>
            </w:r>
            <w:proofErr w:type="spellEnd"/>
            <w:r w:rsidRPr="001B1CAB">
              <w:rPr>
                <w:rFonts w:ascii="Syntax" w:hAnsi="Syntax"/>
                <w:sz w:val="20"/>
                <w:szCs w:val="20"/>
                <w:lang w:val="en-NZ" w:eastAsia="en-NZ"/>
              </w:rPr>
              <w:t xml:space="preserve"> </w:t>
            </w:r>
            <w:proofErr w:type="spellStart"/>
            <w:r w:rsidRPr="001B1CAB">
              <w:rPr>
                <w:rFonts w:ascii="Syntax" w:hAnsi="Syntax"/>
                <w:sz w:val="20"/>
                <w:szCs w:val="20"/>
                <w:lang w:val="en-NZ" w:eastAsia="en-NZ"/>
              </w:rPr>
              <w:t>Streetrace</w:t>
            </w:r>
            <w:proofErr w:type="spellEnd"/>
            <w:r w:rsidRPr="001B1CAB">
              <w:rPr>
                <w:rFonts w:ascii="Syntax" w:hAnsi="Syntax"/>
                <w:sz w:val="20"/>
                <w:szCs w:val="20"/>
                <w:lang w:val="en-NZ" w:eastAsia="en-NZ"/>
              </w:rPr>
              <w:t xml:space="preserve"> Management debt write-off </w:t>
            </w:r>
          </w:p>
        </w:tc>
        <w:tc>
          <w:tcPr>
            <w:tcW w:w="113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(1,580,000)</w:t>
            </w: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w:t>
            </w:r>
          </w:p>
        </w:tc>
      </w:tr>
      <w:tr w:rsidR="00AB1C48" w:rsidRPr="001B1CAB" w:rsidTr="001B1CAB">
        <w:trPr>
          <w:trHeight w:val="300"/>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Rental from Pit Lane and Building to offset V8 reserve debt</w:t>
            </w:r>
          </w:p>
        </w:tc>
        <w:tc>
          <w:tcPr>
            <w:tcW w:w="113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w:t>
            </w: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405,000</w:t>
            </w:r>
          </w:p>
        </w:tc>
      </w:tr>
      <w:tr w:rsidR="00AB1C48" w:rsidRPr="001B1CAB" w:rsidTr="001B1CAB">
        <w:trPr>
          <w:trHeight w:val="300"/>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 xml:space="preserve">Projected profit share </w:t>
            </w:r>
            <w:proofErr w:type="spellStart"/>
            <w:r w:rsidRPr="001B1CAB">
              <w:rPr>
                <w:rFonts w:ascii="Syntax" w:hAnsi="Syntax"/>
                <w:sz w:val="20"/>
                <w:szCs w:val="20"/>
                <w:lang w:val="en-NZ" w:eastAsia="en-NZ"/>
              </w:rPr>
              <w:t>fior</w:t>
            </w:r>
            <w:proofErr w:type="spellEnd"/>
            <w:r w:rsidRPr="001B1CAB">
              <w:rPr>
                <w:rFonts w:ascii="Syntax" w:hAnsi="Syntax"/>
                <w:sz w:val="20"/>
                <w:szCs w:val="20"/>
                <w:lang w:val="en-NZ" w:eastAsia="en-NZ"/>
              </w:rPr>
              <w:t xml:space="preserve"> 2011 event to offset V8 reserve debt</w:t>
            </w:r>
          </w:p>
        </w:tc>
        <w:tc>
          <w:tcPr>
            <w:tcW w:w="113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w:t>
            </w: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360,000</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Ticketing &amp; Catering revenue received</w:t>
            </w:r>
          </w:p>
        </w:tc>
        <w:tc>
          <w:tcPr>
            <w:tcW w:w="113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211,600</w:t>
            </w:r>
          </w:p>
        </w:tc>
        <w:tc>
          <w:tcPr>
            <w:tcW w:w="1156" w:type="dxa"/>
            <w:tcBorders>
              <w:top w:val="nil"/>
              <w:left w:val="nil"/>
              <w:bottom w:val="nil"/>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c>
          <w:tcPr>
            <w:tcW w:w="1136" w:type="dxa"/>
            <w:tcBorders>
              <w:top w:val="single" w:sz="4" w:space="0" w:color="auto"/>
              <w:left w:val="nil"/>
              <w:bottom w:val="single" w:sz="4" w:space="0" w:color="auto"/>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1,525,600</w:t>
            </w:r>
          </w:p>
        </w:tc>
        <w:tc>
          <w:tcPr>
            <w:tcW w:w="1156" w:type="dxa"/>
            <w:tcBorders>
              <w:top w:val="single" w:sz="4" w:space="0" w:color="auto"/>
              <w:left w:val="nil"/>
              <w:bottom w:val="single" w:sz="4" w:space="0" w:color="auto"/>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765,000</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c>
          <w:tcPr>
            <w:tcW w:w="1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r w:rsidRPr="001B1CAB">
              <w:rPr>
                <w:rFonts w:ascii="Syntax" w:hAnsi="Syntax"/>
                <w:b/>
                <w:bCs/>
                <w:sz w:val="20"/>
                <w:szCs w:val="20"/>
                <w:lang w:val="en-NZ" w:eastAsia="en-NZ"/>
              </w:rPr>
              <w:t>Net operating costs</w:t>
            </w:r>
          </w:p>
        </w:tc>
        <w:tc>
          <w:tcPr>
            <w:tcW w:w="1136" w:type="dxa"/>
            <w:tcBorders>
              <w:top w:val="single" w:sz="4" w:space="0" w:color="auto"/>
              <w:left w:val="nil"/>
              <w:bottom w:val="single" w:sz="4" w:space="0" w:color="auto"/>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2,226,100</w:t>
            </w:r>
          </w:p>
        </w:tc>
        <w:tc>
          <w:tcPr>
            <w:tcW w:w="1156" w:type="dxa"/>
            <w:tcBorders>
              <w:top w:val="single" w:sz="4" w:space="0" w:color="auto"/>
              <w:left w:val="nil"/>
              <w:bottom w:val="single" w:sz="4" w:space="0" w:color="auto"/>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368,000</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b/>
                <w:bCs/>
                <w:sz w:val="20"/>
                <w:szCs w:val="20"/>
                <w:lang w:val="en-NZ" w:eastAsia="en-NZ"/>
              </w:rPr>
            </w:pPr>
          </w:p>
        </w:tc>
        <w:tc>
          <w:tcPr>
            <w:tcW w:w="1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r>
      <w:tr w:rsidR="00AB1C48" w:rsidRPr="001B1CAB" w:rsidTr="001B1CAB">
        <w:trPr>
          <w:trHeight w:val="630"/>
        </w:trPr>
        <w:tc>
          <w:tcPr>
            <w:tcW w:w="9428" w:type="dxa"/>
            <w:gridSpan w:val="3"/>
            <w:tcBorders>
              <w:top w:val="nil"/>
              <w:left w:val="nil"/>
              <w:bottom w:val="nil"/>
              <w:right w:val="nil"/>
            </w:tcBorders>
            <w:vAlign w:val="bottom"/>
          </w:tcPr>
          <w:p w:rsidR="00AB1C48" w:rsidRDefault="00AB1C48" w:rsidP="001B1CAB">
            <w:pPr>
              <w:rPr>
                <w:rFonts w:ascii="Syntax" w:hAnsi="Syntax"/>
                <w:sz w:val="20"/>
                <w:szCs w:val="20"/>
                <w:lang w:val="en-NZ" w:eastAsia="en-NZ"/>
              </w:rPr>
            </w:pPr>
            <w:r w:rsidRPr="001B1CAB">
              <w:rPr>
                <w:rFonts w:ascii="Syntax" w:hAnsi="Syntax"/>
                <w:sz w:val="20"/>
                <w:szCs w:val="20"/>
                <w:lang w:val="en-NZ" w:eastAsia="en-NZ"/>
              </w:rPr>
              <w:t>*In addition to the operating costs set out above, HCC pays each year, a Host City Fee to the promoter (Sponsorship), which is confidential under the contract and so cannot be disclosed unless required by law</w:t>
            </w:r>
          </w:p>
          <w:p w:rsidR="00AB1C48" w:rsidRDefault="00AB1C48" w:rsidP="001B1CAB">
            <w:pPr>
              <w:rPr>
                <w:rFonts w:ascii="Syntax" w:hAnsi="Syntax"/>
                <w:sz w:val="20"/>
                <w:szCs w:val="20"/>
                <w:lang w:val="en-NZ" w:eastAsia="en-NZ"/>
              </w:rPr>
            </w:pPr>
          </w:p>
          <w:p w:rsidR="00AB1C48" w:rsidRDefault="00AB1C48" w:rsidP="001B1CAB">
            <w:pPr>
              <w:rPr>
                <w:rFonts w:ascii="Syntax" w:hAnsi="Syntax"/>
                <w:sz w:val="20"/>
                <w:szCs w:val="20"/>
                <w:lang w:val="en-NZ" w:eastAsia="en-NZ"/>
              </w:rPr>
            </w:pPr>
          </w:p>
          <w:p w:rsidR="00AB1C48" w:rsidRDefault="00AB1C48" w:rsidP="001B1CAB">
            <w:pPr>
              <w:rPr>
                <w:rFonts w:ascii="Syntax" w:hAnsi="Syntax"/>
                <w:sz w:val="20"/>
                <w:szCs w:val="20"/>
                <w:lang w:val="en-NZ" w:eastAsia="en-NZ"/>
              </w:rPr>
            </w:pPr>
          </w:p>
          <w:p w:rsidR="00AB1C48" w:rsidRDefault="00AB1C48" w:rsidP="001B1CAB">
            <w:pPr>
              <w:rPr>
                <w:rFonts w:ascii="Syntax" w:hAnsi="Syntax"/>
                <w:sz w:val="20"/>
                <w:szCs w:val="20"/>
                <w:lang w:val="en-NZ" w:eastAsia="en-NZ"/>
              </w:rPr>
            </w:pPr>
          </w:p>
          <w:p w:rsidR="00AB1C48" w:rsidRDefault="00AB1C48" w:rsidP="001B1CAB">
            <w:pPr>
              <w:rPr>
                <w:rFonts w:ascii="Syntax" w:hAnsi="Syntax"/>
                <w:sz w:val="20"/>
                <w:szCs w:val="20"/>
                <w:lang w:val="en-NZ" w:eastAsia="en-NZ"/>
              </w:rPr>
            </w:pPr>
          </w:p>
          <w:p w:rsidR="00AB1C48" w:rsidRDefault="00AB1C48" w:rsidP="001B1CAB">
            <w:pPr>
              <w:rPr>
                <w:rFonts w:ascii="Syntax" w:hAnsi="Syntax"/>
                <w:sz w:val="20"/>
                <w:szCs w:val="20"/>
                <w:lang w:val="en-NZ" w:eastAsia="en-NZ"/>
              </w:rPr>
            </w:pPr>
          </w:p>
          <w:p w:rsidR="00AB1C48" w:rsidRDefault="00AB1C48" w:rsidP="001B1CAB">
            <w:pPr>
              <w:rPr>
                <w:rFonts w:ascii="Syntax" w:hAnsi="Syntax"/>
                <w:sz w:val="20"/>
                <w:szCs w:val="20"/>
                <w:lang w:val="en-NZ" w:eastAsia="en-NZ"/>
              </w:rPr>
            </w:pPr>
          </w:p>
          <w:p w:rsidR="00AB1C48" w:rsidRPr="001B1CAB" w:rsidRDefault="00AB1C48" w:rsidP="001B1CAB">
            <w:pPr>
              <w:rPr>
                <w:rFonts w:ascii="Syntax" w:hAnsi="Syntax"/>
                <w:sz w:val="20"/>
                <w:szCs w:val="20"/>
                <w:lang w:val="en-NZ" w:eastAsia="en-NZ"/>
              </w:rPr>
            </w:pPr>
          </w:p>
        </w:tc>
      </w:tr>
      <w:tr w:rsidR="00AB1C48" w:rsidRPr="001B1CAB" w:rsidTr="001B1CAB">
        <w:trPr>
          <w:trHeight w:val="330"/>
        </w:trPr>
        <w:tc>
          <w:tcPr>
            <w:tcW w:w="7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p>
        </w:tc>
        <w:tc>
          <w:tcPr>
            <w:tcW w:w="113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p>
        </w:tc>
        <w:tc>
          <w:tcPr>
            <w:tcW w:w="1156" w:type="dxa"/>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p>
        </w:tc>
      </w:tr>
      <w:tr w:rsidR="00AB1C48" w:rsidRPr="001B1CAB" w:rsidTr="001B1CAB">
        <w:trPr>
          <w:trHeight w:val="300"/>
        </w:trPr>
        <w:tc>
          <w:tcPr>
            <w:tcW w:w="7136" w:type="dxa"/>
            <w:tcBorders>
              <w:top w:val="nil"/>
              <w:left w:val="nil"/>
              <w:bottom w:val="nil"/>
              <w:right w:val="nil"/>
            </w:tcBorders>
            <w:shd w:val="clear" w:color="000000" w:fill="A5A5A5"/>
            <w:noWrap/>
            <w:vAlign w:val="bottom"/>
          </w:tcPr>
          <w:p w:rsidR="00AB1C48" w:rsidRPr="001B1CAB" w:rsidRDefault="00AB1C48" w:rsidP="001B1CAB">
            <w:pPr>
              <w:rPr>
                <w:rFonts w:ascii="Syntax" w:hAnsi="Syntax"/>
                <w:b/>
                <w:bCs/>
                <w:sz w:val="20"/>
                <w:szCs w:val="20"/>
                <w:lang w:val="en-NZ" w:eastAsia="en-NZ"/>
              </w:rPr>
            </w:pPr>
            <w:r w:rsidRPr="001B1CAB">
              <w:rPr>
                <w:rFonts w:ascii="Syntax" w:hAnsi="Syntax"/>
                <w:b/>
                <w:bCs/>
                <w:sz w:val="20"/>
                <w:szCs w:val="20"/>
                <w:lang w:val="en-NZ" w:eastAsia="en-NZ"/>
              </w:rPr>
              <w:t>Interest Costs Paid by HCC</w:t>
            </w:r>
          </w:p>
        </w:tc>
        <w:tc>
          <w:tcPr>
            <w:tcW w:w="1136" w:type="dxa"/>
            <w:tcBorders>
              <w:top w:val="nil"/>
              <w:left w:val="nil"/>
              <w:bottom w:val="nil"/>
              <w:right w:val="nil"/>
            </w:tcBorders>
            <w:shd w:val="clear" w:color="000000" w:fill="A5A5A5"/>
            <w:noWrap/>
            <w:vAlign w:val="bottom"/>
          </w:tcPr>
          <w:p w:rsidR="00AB1C48" w:rsidRPr="001B1CAB" w:rsidRDefault="00AB1C48" w:rsidP="001B1CAB">
            <w:pPr>
              <w:rPr>
                <w:rFonts w:ascii="Syntax" w:hAnsi="Syntax"/>
                <w:b/>
                <w:bCs/>
                <w:sz w:val="20"/>
                <w:szCs w:val="20"/>
                <w:lang w:val="en-NZ" w:eastAsia="en-NZ"/>
              </w:rPr>
            </w:pPr>
            <w:r w:rsidRPr="001B1CAB">
              <w:rPr>
                <w:rFonts w:ascii="Syntax" w:hAnsi="Syntax"/>
                <w:b/>
                <w:bCs/>
                <w:sz w:val="20"/>
                <w:szCs w:val="20"/>
                <w:lang w:val="en-NZ" w:eastAsia="en-NZ"/>
              </w:rPr>
              <w:t> </w:t>
            </w:r>
          </w:p>
        </w:tc>
        <w:tc>
          <w:tcPr>
            <w:tcW w:w="1156" w:type="dxa"/>
            <w:tcBorders>
              <w:top w:val="nil"/>
              <w:left w:val="nil"/>
              <w:bottom w:val="nil"/>
              <w:right w:val="nil"/>
            </w:tcBorders>
            <w:shd w:val="clear" w:color="000000" w:fill="A5A5A5"/>
            <w:noWrap/>
            <w:vAlign w:val="bottom"/>
          </w:tcPr>
          <w:p w:rsidR="00AB1C48" w:rsidRPr="001B1CAB" w:rsidRDefault="00AB1C48" w:rsidP="001B1CAB">
            <w:pPr>
              <w:rPr>
                <w:rFonts w:ascii="Syntax" w:hAnsi="Syntax"/>
                <w:b/>
                <w:bCs/>
                <w:sz w:val="20"/>
                <w:szCs w:val="20"/>
                <w:lang w:val="en-NZ" w:eastAsia="en-NZ"/>
              </w:rPr>
            </w:pPr>
            <w:r w:rsidRPr="001B1CAB">
              <w:rPr>
                <w:rFonts w:ascii="Syntax" w:hAnsi="Syntax"/>
                <w:b/>
                <w:bCs/>
                <w:sz w:val="20"/>
                <w:szCs w:val="20"/>
                <w:lang w:val="en-NZ" w:eastAsia="en-NZ"/>
              </w:rPr>
              <w:t> </w:t>
            </w:r>
          </w:p>
        </w:tc>
      </w:tr>
      <w:tr w:rsidR="00AB1C48" w:rsidRPr="001B1CAB" w:rsidTr="001B1CAB">
        <w:trPr>
          <w:trHeight w:val="300"/>
        </w:trPr>
        <w:tc>
          <w:tcPr>
            <w:tcW w:w="7136" w:type="dxa"/>
            <w:tcBorders>
              <w:top w:val="nil"/>
              <w:left w:val="nil"/>
              <w:bottom w:val="single" w:sz="4" w:space="0" w:color="auto"/>
              <w:right w:val="nil"/>
            </w:tcBorders>
            <w:noWrap/>
            <w:vAlign w:val="bottom"/>
          </w:tcPr>
          <w:p w:rsidR="00AB1C48" w:rsidRPr="001B1CAB" w:rsidRDefault="00AB1C48" w:rsidP="001B1CAB">
            <w:pPr>
              <w:rPr>
                <w:rFonts w:ascii="Syntax" w:hAnsi="Syntax"/>
                <w:b/>
                <w:bCs/>
                <w:sz w:val="20"/>
                <w:szCs w:val="20"/>
                <w:lang w:val="en-NZ" w:eastAsia="en-NZ"/>
              </w:rPr>
            </w:pPr>
            <w:r w:rsidRPr="001B1CAB">
              <w:rPr>
                <w:rFonts w:ascii="Syntax" w:hAnsi="Syntax"/>
                <w:b/>
                <w:bCs/>
                <w:sz w:val="20"/>
                <w:szCs w:val="20"/>
                <w:lang w:val="en-NZ" w:eastAsia="en-NZ"/>
              </w:rPr>
              <w:t> </w:t>
            </w:r>
          </w:p>
        </w:tc>
        <w:tc>
          <w:tcPr>
            <w:tcW w:w="1136" w:type="dxa"/>
            <w:tcBorders>
              <w:top w:val="nil"/>
              <w:left w:val="nil"/>
              <w:bottom w:val="single" w:sz="4" w:space="0" w:color="auto"/>
              <w:right w:val="nil"/>
            </w:tcBorders>
            <w:noWrap/>
            <w:vAlign w:val="bottom"/>
          </w:tcPr>
          <w:p w:rsidR="00AB1C48" w:rsidRPr="001B1CAB" w:rsidRDefault="00AB1C48" w:rsidP="001B1CAB">
            <w:pPr>
              <w:jc w:val="center"/>
              <w:rPr>
                <w:rFonts w:ascii="Syntax" w:hAnsi="Syntax"/>
                <w:b/>
                <w:bCs/>
                <w:sz w:val="20"/>
                <w:szCs w:val="20"/>
                <w:lang w:val="en-NZ" w:eastAsia="en-NZ"/>
              </w:rPr>
            </w:pPr>
            <w:r w:rsidRPr="001B1CAB">
              <w:rPr>
                <w:rFonts w:ascii="Syntax" w:hAnsi="Syntax"/>
                <w:b/>
                <w:bCs/>
                <w:sz w:val="20"/>
                <w:szCs w:val="20"/>
                <w:lang w:val="en-NZ" w:eastAsia="en-NZ"/>
              </w:rPr>
              <w:t>2009/10</w:t>
            </w:r>
          </w:p>
        </w:tc>
        <w:tc>
          <w:tcPr>
            <w:tcW w:w="1156" w:type="dxa"/>
            <w:tcBorders>
              <w:top w:val="nil"/>
              <w:left w:val="nil"/>
              <w:bottom w:val="single" w:sz="4" w:space="0" w:color="auto"/>
              <w:right w:val="nil"/>
            </w:tcBorders>
            <w:noWrap/>
            <w:vAlign w:val="bottom"/>
          </w:tcPr>
          <w:p w:rsidR="00AB1C48" w:rsidRPr="001B1CAB" w:rsidRDefault="00AB1C48" w:rsidP="001B1CAB">
            <w:pPr>
              <w:jc w:val="center"/>
              <w:rPr>
                <w:rFonts w:ascii="Syntax" w:hAnsi="Syntax"/>
                <w:b/>
                <w:bCs/>
                <w:sz w:val="20"/>
                <w:szCs w:val="20"/>
                <w:lang w:val="en-NZ" w:eastAsia="en-NZ"/>
              </w:rPr>
            </w:pPr>
            <w:r w:rsidRPr="001B1CAB">
              <w:rPr>
                <w:rFonts w:ascii="Syntax" w:hAnsi="Syntax"/>
                <w:b/>
                <w:bCs/>
                <w:sz w:val="20"/>
                <w:szCs w:val="20"/>
                <w:lang w:val="en-NZ" w:eastAsia="en-NZ"/>
              </w:rPr>
              <w:t>2010/11</w:t>
            </w:r>
          </w:p>
        </w:tc>
      </w:tr>
      <w:tr w:rsidR="00AB1C48" w:rsidRPr="001B1CAB" w:rsidTr="001B1CAB">
        <w:trPr>
          <w:trHeight w:val="300"/>
        </w:trPr>
        <w:tc>
          <w:tcPr>
            <w:tcW w:w="7136" w:type="dxa"/>
            <w:tcBorders>
              <w:top w:val="nil"/>
              <w:left w:val="nil"/>
              <w:bottom w:val="single" w:sz="4" w:space="0" w:color="auto"/>
              <w:right w:val="nil"/>
            </w:tcBorders>
            <w:noWrap/>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Interest  - on $7.3m debt raised, repaid from rates (current year is an estimate)</w:t>
            </w:r>
          </w:p>
        </w:tc>
        <w:tc>
          <w:tcPr>
            <w:tcW w:w="1136" w:type="dxa"/>
            <w:tcBorders>
              <w:top w:val="nil"/>
              <w:left w:val="nil"/>
              <w:bottom w:val="single" w:sz="4" w:space="0" w:color="auto"/>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1,393,000</w:t>
            </w:r>
          </w:p>
        </w:tc>
        <w:tc>
          <w:tcPr>
            <w:tcW w:w="1156" w:type="dxa"/>
            <w:tcBorders>
              <w:top w:val="nil"/>
              <w:left w:val="nil"/>
              <w:bottom w:val="single" w:sz="4" w:space="0" w:color="auto"/>
              <w:right w:val="nil"/>
            </w:tcBorders>
            <w:noWrap/>
            <w:vAlign w:val="bottom"/>
          </w:tcPr>
          <w:p w:rsidR="00AB1C48" w:rsidRPr="001B1CAB" w:rsidRDefault="00AB1C48" w:rsidP="001B1CAB">
            <w:pPr>
              <w:jc w:val="right"/>
              <w:rPr>
                <w:rFonts w:ascii="Syntax" w:hAnsi="Syntax"/>
                <w:sz w:val="20"/>
                <w:szCs w:val="20"/>
                <w:lang w:val="en-NZ" w:eastAsia="en-NZ"/>
              </w:rPr>
            </w:pPr>
            <w:r w:rsidRPr="001B1CAB">
              <w:rPr>
                <w:rFonts w:ascii="Syntax" w:hAnsi="Syntax"/>
                <w:sz w:val="20"/>
                <w:szCs w:val="20"/>
                <w:lang w:val="en-NZ" w:eastAsia="en-NZ"/>
              </w:rPr>
              <w:t>336,000</w:t>
            </w:r>
          </w:p>
        </w:tc>
      </w:tr>
      <w:tr w:rsidR="00AB1C48" w:rsidRPr="001B1CAB" w:rsidTr="001B1CAB">
        <w:trPr>
          <w:trHeight w:val="300"/>
        </w:trPr>
        <w:tc>
          <w:tcPr>
            <w:tcW w:w="7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c>
          <w:tcPr>
            <w:tcW w:w="1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r>
      <w:tr w:rsidR="00AB1C48" w:rsidRPr="001B1CAB" w:rsidTr="001B1CAB">
        <w:trPr>
          <w:trHeight w:val="300"/>
        </w:trPr>
        <w:tc>
          <w:tcPr>
            <w:tcW w:w="7136" w:type="dxa"/>
            <w:tcBorders>
              <w:top w:val="nil"/>
              <w:left w:val="nil"/>
              <w:bottom w:val="nil"/>
              <w:right w:val="nil"/>
            </w:tcBorders>
            <w:shd w:val="clear" w:color="000000" w:fill="A5A5A5"/>
            <w:noWrap/>
            <w:vAlign w:val="bottom"/>
          </w:tcPr>
          <w:p w:rsidR="00AB1C48" w:rsidRPr="001B1CAB" w:rsidRDefault="00AB1C48" w:rsidP="001B1CAB">
            <w:pPr>
              <w:rPr>
                <w:rFonts w:ascii="Syntax" w:hAnsi="Syntax"/>
                <w:b/>
                <w:bCs/>
                <w:sz w:val="20"/>
                <w:szCs w:val="20"/>
                <w:lang w:val="en-NZ" w:eastAsia="en-NZ"/>
              </w:rPr>
            </w:pPr>
            <w:r w:rsidRPr="001B1CAB">
              <w:rPr>
                <w:rFonts w:ascii="Syntax" w:hAnsi="Syntax"/>
                <w:b/>
                <w:bCs/>
                <w:sz w:val="20"/>
                <w:szCs w:val="20"/>
                <w:lang w:val="en-NZ" w:eastAsia="en-NZ"/>
              </w:rPr>
              <w:t>Notes</w:t>
            </w:r>
          </w:p>
        </w:tc>
        <w:tc>
          <w:tcPr>
            <w:tcW w:w="1136" w:type="dxa"/>
            <w:tcBorders>
              <w:top w:val="nil"/>
              <w:left w:val="nil"/>
              <w:bottom w:val="nil"/>
              <w:right w:val="nil"/>
            </w:tcBorders>
            <w:shd w:val="clear" w:color="000000" w:fill="A5A5A5"/>
            <w:noWrap/>
            <w:vAlign w:val="bottom"/>
          </w:tcPr>
          <w:p w:rsidR="00AB1C48" w:rsidRPr="001B1CAB" w:rsidRDefault="00AB1C48" w:rsidP="001B1CAB">
            <w:pPr>
              <w:rPr>
                <w:rFonts w:ascii="Syntax" w:hAnsi="Syntax"/>
                <w:b/>
                <w:bCs/>
                <w:sz w:val="20"/>
                <w:szCs w:val="20"/>
                <w:lang w:val="en-NZ" w:eastAsia="en-NZ"/>
              </w:rPr>
            </w:pPr>
            <w:r w:rsidRPr="001B1CAB">
              <w:rPr>
                <w:rFonts w:ascii="Syntax" w:hAnsi="Syntax"/>
                <w:b/>
                <w:bCs/>
                <w:sz w:val="20"/>
                <w:szCs w:val="20"/>
                <w:lang w:val="en-NZ" w:eastAsia="en-NZ"/>
              </w:rPr>
              <w:t> </w:t>
            </w:r>
          </w:p>
        </w:tc>
        <w:tc>
          <w:tcPr>
            <w:tcW w:w="1156" w:type="dxa"/>
            <w:tcBorders>
              <w:top w:val="nil"/>
              <w:left w:val="nil"/>
              <w:bottom w:val="nil"/>
              <w:right w:val="nil"/>
            </w:tcBorders>
            <w:shd w:val="clear" w:color="000000" w:fill="A5A5A5"/>
            <w:noWrap/>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 </w:t>
            </w:r>
          </w:p>
        </w:tc>
      </w:tr>
      <w:tr w:rsidR="00AB1C48" w:rsidRPr="001B1CAB" w:rsidTr="001B1CAB">
        <w:trPr>
          <w:trHeight w:val="300"/>
        </w:trPr>
        <w:tc>
          <w:tcPr>
            <w:tcW w:w="7136" w:type="dxa"/>
            <w:tcBorders>
              <w:top w:val="nil"/>
              <w:left w:val="nil"/>
              <w:bottom w:val="nil"/>
              <w:right w:val="nil"/>
            </w:tcBorders>
            <w:shd w:val="clear" w:color="000000" w:fill="A5A5A5"/>
            <w:noWrap/>
            <w:vAlign w:val="bottom"/>
          </w:tcPr>
          <w:p w:rsidR="00AB1C48" w:rsidRPr="001B1CAB" w:rsidRDefault="00AB1C48" w:rsidP="001B1CAB">
            <w:pPr>
              <w:rPr>
                <w:rFonts w:ascii="Syntax" w:hAnsi="Syntax"/>
                <w:b/>
                <w:bCs/>
                <w:sz w:val="20"/>
                <w:szCs w:val="20"/>
                <w:lang w:val="en-NZ" w:eastAsia="en-NZ"/>
              </w:rPr>
            </w:pPr>
            <w:r w:rsidRPr="001B1CAB">
              <w:rPr>
                <w:rFonts w:ascii="Syntax" w:hAnsi="Syntax"/>
                <w:b/>
                <w:bCs/>
                <w:sz w:val="20"/>
                <w:szCs w:val="20"/>
                <w:lang w:val="en-NZ" w:eastAsia="en-NZ"/>
              </w:rPr>
              <w:t> </w:t>
            </w:r>
          </w:p>
        </w:tc>
        <w:tc>
          <w:tcPr>
            <w:tcW w:w="1136" w:type="dxa"/>
            <w:tcBorders>
              <w:top w:val="nil"/>
              <w:left w:val="nil"/>
              <w:bottom w:val="nil"/>
              <w:right w:val="nil"/>
            </w:tcBorders>
            <w:shd w:val="clear" w:color="000000" w:fill="A5A5A5"/>
            <w:noWrap/>
            <w:vAlign w:val="bottom"/>
          </w:tcPr>
          <w:p w:rsidR="00AB1C48" w:rsidRPr="001B1CAB" w:rsidRDefault="00AB1C48" w:rsidP="001B1CAB">
            <w:pPr>
              <w:rPr>
                <w:rFonts w:ascii="Syntax" w:hAnsi="Syntax"/>
                <w:b/>
                <w:bCs/>
                <w:sz w:val="20"/>
                <w:szCs w:val="20"/>
                <w:lang w:val="en-NZ" w:eastAsia="en-NZ"/>
              </w:rPr>
            </w:pPr>
            <w:r w:rsidRPr="001B1CAB">
              <w:rPr>
                <w:rFonts w:ascii="Syntax" w:hAnsi="Syntax"/>
                <w:b/>
                <w:bCs/>
                <w:sz w:val="20"/>
                <w:szCs w:val="20"/>
                <w:lang w:val="en-NZ" w:eastAsia="en-NZ"/>
              </w:rPr>
              <w:t> </w:t>
            </w:r>
          </w:p>
        </w:tc>
        <w:tc>
          <w:tcPr>
            <w:tcW w:w="1156" w:type="dxa"/>
            <w:tcBorders>
              <w:top w:val="nil"/>
              <w:left w:val="nil"/>
              <w:bottom w:val="nil"/>
              <w:right w:val="nil"/>
            </w:tcBorders>
            <w:shd w:val="clear" w:color="000000" w:fill="A5A5A5"/>
            <w:noWrap/>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 </w:t>
            </w:r>
          </w:p>
        </w:tc>
      </w:tr>
      <w:tr w:rsidR="00AB1C48" w:rsidRPr="001B1CAB" w:rsidTr="001B1CAB">
        <w:trPr>
          <w:trHeight w:val="300"/>
        </w:trPr>
        <w:tc>
          <w:tcPr>
            <w:tcW w:w="9428" w:type="dxa"/>
            <w:gridSpan w:val="3"/>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 The new promoters pay rent to HCC for the lease of Pit Lane and the Frankton Yard building.</w:t>
            </w:r>
          </w:p>
        </w:tc>
      </w:tr>
      <w:tr w:rsidR="00AB1C48" w:rsidRPr="001B1CAB" w:rsidTr="001B1CAB">
        <w:trPr>
          <w:trHeight w:val="600"/>
        </w:trPr>
        <w:tc>
          <w:tcPr>
            <w:tcW w:w="9428" w:type="dxa"/>
            <w:gridSpan w:val="3"/>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 HCC has forecast to receive $360,000 profit from the 2011 race event. Any profits received and the rent income for 2011 and future events will be used to pay off some of the V8 reserve debt.</w:t>
            </w:r>
          </w:p>
        </w:tc>
      </w:tr>
      <w:tr w:rsidR="00AB1C48" w:rsidRPr="001B1CAB" w:rsidTr="001B1CAB">
        <w:trPr>
          <w:trHeight w:val="1410"/>
        </w:trPr>
        <w:tc>
          <w:tcPr>
            <w:tcW w:w="9428" w:type="dxa"/>
            <w:gridSpan w:val="3"/>
            <w:tcBorders>
              <w:top w:val="nil"/>
              <w:left w:val="nil"/>
              <w:bottom w:val="nil"/>
              <w:right w:val="nil"/>
            </w:tcBorders>
            <w:vAlign w:val="bottom"/>
          </w:tcPr>
          <w:p w:rsidR="00AB1C48" w:rsidRPr="001B1CAB" w:rsidRDefault="00AB1C48" w:rsidP="001B1CAB">
            <w:pPr>
              <w:rPr>
                <w:rFonts w:ascii="Syntax" w:hAnsi="Syntax"/>
                <w:sz w:val="20"/>
                <w:szCs w:val="20"/>
                <w:lang w:val="en-NZ" w:eastAsia="en-NZ"/>
              </w:rPr>
            </w:pPr>
            <w:r w:rsidRPr="001B1CAB">
              <w:rPr>
                <w:rFonts w:ascii="Syntax" w:hAnsi="Syntax"/>
                <w:sz w:val="20"/>
                <w:szCs w:val="20"/>
                <w:lang w:val="en-NZ" w:eastAsia="en-NZ"/>
              </w:rPr>
              <w:t xml:space="preserve">* HCC and V8 Supercars have shared transition costs concerning the transfer of the event from </w:t>
            </w:r>
            <w:proofErr w:type="spellStart"/>
            <w:r w:rsidRPr="001B1CAB">
              <w:rPr>
                <w:rFonts w:ascii="Syntax" w:hAnsi="Syntax"/>
                <w:sz w:val="20"/>
                <w:szCs w:val="20"/>
                <w:lang w:val="en-NZ" w:eastAsia="en-NZ"/>
              </w:rPr>
              <w:t>Caleta</w:t>
            </w:r>
            <w:proofErr w:type="spellEnd"/>
            <w:r w:rsidRPr="001B1CAB">
              <w:rPr>
                <w:rFonts w:ascii="Syntax" w:hAnsi="Syntax"/>
                <w:sz w:val="20"/>
                <w:szCs w:val="20"/>
                <w:lang w:val="en-NZ" w:eastAsia="en-NZ"/>
              </w:rPr>
              <w:t xml:space="preserve"> </w:t>
            </w:r>
            <w:proofErr w:type="spellStart"/>
            <w:r w:rsidRPr="001B1CAB">
              <w:rPr>
                <w:rFonts w:ascii="Syntax" w:hAnsi="Syntax"/>
                <w:sz w:val="20"/>
                <w:szCs w:val="20"/>
                <w:lang w:val="en-NZ" w:eastAsia="en-NZ"/>
              </w:rPr>
              <w:t>Streetrace</w:t>
            </w:r>
            <w:proofErr w:type="spellEnd"/>
            <w:r w:rsidRPr="001B1CAB">
              <w:rPr>
                <w:rFonts w:ascii="Syntax" w:hAnsi="Syntax"/>
                <w:sz w:val="20"/>
                <w:szCs w:val="20"/>
                <w:lang w:val="en-NZ" w:eastAsia="en-NZ"/>
              </w:rPr>
              <w:t xml:space="preserve"> Management to V8 Supercars. HCC agreed to pay creditors owed money by </w:t>
            </w:r>
            <w:proofErr w:type="spellStart"/>
            <w:r w:rsidRPr="001B1CAB">
              <w:rPr>
                <w:rFonts w:ascii="Syntax" w:hAnsi="Syntax"/>
                <w:sz w:val="20"/>
                <w:szCs w:val="20"/>
                <w:lang w:val="en-NZ" w:eastAsia="en-NZ"/>
              </w:rPr>
              <w:t>Caleta</w:t>
            </w:r>
            <w:proofErr w:type="spellEnd"/>
            <w:r w:rsidRPr="001B1CAB">
              <w:rPr>
                <w:rFonts w:ascii="Syntax" w:hAnsi="Syntax"/>
                <w:sz w:val="20"/>
                <w:szCs w:val="20"/>
                <w:lang w:val="en-NZ" w:eastAsia="en-NZ"/>
              </w:rPr>
              <w:t xml:space="preserve"> after the 2010 event.  These payments, totalling $3.5 million, were made to ensure that there was no negative impact on suppliers to the event from the failure of </w:t>
            </w:r>
            <w:proofErr w:type="spellStart"/>
            <w:r w:rsidRPr="001B1CAB">
              <w:rPr>
                <w:rFonts w:ascii="Syntax" w:hAnsi="Syntax"/>
                <w:sz w:val="20"/>
                <w:szCs w:val="20"/>
                <w:lang w:val="en-NZ" w:eastAsia="en-NZ"/>
              </w:rPr>
              <w:t>Caleta</w:t>
            </w:r>
            <w:proofErr w:type="spellEnd"/>
            <w:r w:rsidRPr="001B1CAB">
              <w:rPr>
                <w:rFonts w:ascii="Syntax" w:hAnsi="Syntax"/>
                <w:sz w:val="20"/>
                <w:szCs w:val="20"/>
                <w:lang w:val="en-NZ" w:eastAsia="en-NZ"/>
              </w:rPr>
              <w:t>. The contract provides for the possibility of future revenue from the event which will be applied towards the funding of these costs.</w:t>
            </w:r>
          </w:p>
        </w:tc>
      </w:tr>
      <w:tr w:rsidR="00AB1C48" w:rsidRPr="001B1CAB" w:rsidTr="001B1CAB">
        <w:trPr>
          <w:trHeight w:val="600"/>
        </w:trPr>
        <w:tc>
          <w:tcPr>
            <w:tcW w:w="9428" w:type="dxa"/>
            <w:gridSpan w:val="3"/>
            <w:tcBorders>
              <w:top w:val="nil"/>
              <w:left w:val="nil"/>
              <w:bottom w:val="nil"/>
              <w:right w:val="nil"/>
            </w:tcBorders>
            <w:vAlign w:val="bottom"/>
          </w:tcPr>
          <w:p w:rsidR="00AB1C48" w:rsidRPr="001B1CAB" w:rsidRDefault="00AB1C48" w:rsidP="001B1CAB">
            <w:pPr>
              <w:jc w:val="both"/>
              <w:rPr>
                <w:rFonts w:ascii="Syntax" w:hAnsi="Syntax"/>
                <w:sz w:val="20"/>
                <w:szCs w:val="20"/>
                <w:lang w:val="en-NZ" w:eastAsia="en-NZ"/>
              </w:rPr>
            </w:pPr>
            <w:r w:rsidRPr="001B1CAB">
              <w:rPr>
                <w:rFonts w:ascii="Syntax" w:hAnsi="Syntax"/>
                <w:sz w:val="20"/>
                <w:szCs w:val="20"/>
                <w:lang w:val="en-NZ" w:eastAsia="en-NZ"/>
              </w:rPr>
              <w:t xml:space="preserve">* HCC has written off debt of $1.58m (plus GST) owed by </w:t>
            </w:r>
            <w:proofErr w:type="spellStart"/>
            <w:r w:rsidRPr="001B1CAB">
              <w:rPr>
                <w:rFonts w:ascii="Syntax" w:hAnsi="Syntax"/>
                <w:sz w:val="20"/>
                <w:szCs w:val="20"/>
                <w:lang w:val="en-NZ" w:eastAsia="en-NZ"/>
              </w:rPr>
              <w:t>Caleta</w:t>
            </w:r>
            <w:proofErr w:type="spellEnd"/>
            <w:r w:rsidRPr="001B1CAB">
              <w:rPr>
                <w:rFonts w:ascii="Syntax" w:hAnsi="Syntax"/>
                <w:sz w:val="20"/>
                <w:szCs w:val="20"/>
                <w:lang w:val="en-NZ" w:eastAsia="en-NZ"/>
              </w:rPr>
              <w:t xml:space="preserve"> </w:t>
            </w:r>
            <w:proofErr w:type="spellStart"/>
            <w:r w:rsidRPr="001B1CAB">
              <w:rPr>
                <w:rFonts w:ascii="Syntax" w:hAnsi="Syntax"/>
                <w:sz w:val="20"/>
                <w:szCs w:val="20"/>
                <w:lang w:val="en-NZ" w:eastAsia="en-NZ"/>
              </w:rPr>
              <w:t>Streetrace</w:t>
            </w:r>
            <w:proofErr w:type="spellEnd"/>
            <w:r w:rsidRPr="001B1CAB">
              <w:rPr>
                <w:rFonts w:ascii="Syntax" w:hAnsi="Syntax"/>
                <w:sz w:val="20"/>
                <w:szCs w:val="20"/>
                <w:lang w:val="en-NZ" w:eastAsia="en-NZ"/>
              </w:rPr>
              <w:t xml:space="preserve"> Management and it will not be pursued.</w:t>
            </w:r>
          </w:p>
        </w:tc>
      </w:tr>
      <w:tr w:rsidR="00AB1C48" w:rsidRPr="001B1CAB" w:rsidTr="001B1CAB">
        <w:trPr>
          <w:trHeight w:val="555"/>
        </w:trPr>
        <w:tc>
          <w:tcPr>
            <w:tcW w:w="7136" w:type="dxa"/>
            <w:tcBorders>
              <w:top w:val="nil"/>
              <w:left w:val="nil"/>
              <w:bottom w:val="nil"/>
              <w:right w:val="nil"/>
            </w:tcBorders>
            <w:noWrap/>
            <w:vAlign w:val="bottom"/>
          </w:tcPr>
          <w:p w:rsidR="00AB1C48" w:rsidRPr="001B1CAB" w:rsidRDefault="00AB1C48" w:rsidP="001B1CAB">
            <w:pPr>
              <w:rPr>
                <w:rFonts w:ascii="Calibri" w:hAnsi="Calibri"/>
                <w:i/>
                <w:iCs/>
                <w:lang w:val="en-NZ" w:eastAsia="en-NZ"/>
              </w:rPr>
            </w:pPr>
          </w:p>
        </w:tc>
        <w:tc>
          <w:tcPr>
            <w:tcW w:w="113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c>
          <w:tcPr>
            <w:tcW w:w="1156" w:type="dxa"/>
            <w:tcBorders>
              <w:top w:val="nil"/>
              <w:left w:val="nil"/>
              <w:bottom w:val="nil"/>
              <w:right w:val="nil"/>
            </w:tcBorders>
            <w:noWrap/>
            <w:vAlign w:val="bottom"/>
          </w:tcPr>
          <w:p w:rsidR="00AB1C48" w:rsidRPr="001B1CAB" w:rsidRDefault="00AB1C48" w:rsidP="001B1CAB">
            <w:pPr>
              <w:rPr>
                <w:rFonts w:ascii="Syntax" w:hAnsi="Syntax"/>
                <w:sz w:val="20"/>
                <w:szCs w:val="20"/>
                <w:lang w:val="en-NZ" w:eastAsia="en-NZ"/>
              </w:rPr>
            </w:pPr>
          </w:p>
        </w:tc>
      </w:tr>
    </w:tbl>
    <w:p w:rsidR="00AB1C48" w:rsidRPr="00E371D7" w:rsidRDefault="00AB1C48">
      <w:pPr>
        <w:rPr>
          <w:rFonts w:ascii="Syntax" w:hAnsi="Syntax"/>
          <w:sz w:val="22"/>
          <w:szCs w:val="22"/>
          <w:lang w:val="en-NZ"/>
        </w:rPr>
      </w:pPr>
    </w:p>
    <w:sectPr w:rsidR="00AB1C48" w:rsidRPr="00E371D7" w:rsidSect="00631DD6">
      <w:pgSz w:w="11906" w:h="16838" w:code="9"/>
      <w:pgMar w:top="1440" w:right="1800" w:bottom="1440" w:left="180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ntax">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1B1CAB"/>
    <w:rsid w:val="0004354B"/>
    <w:rsid w:val="0004701D"/>
    <w:rsid w:val="00056E47"/>
    <w:rsid w:val="00064345"/>
    <w:rsid w:val="0008509E"/>
    <w:rsid w:val="000860D5"/>
    <w:rsid w:val="000B5984"/>
    <w:rsid w:val="000D2394"/>
    <w:rsid w:val="000F2E93"/>
    <w:rsid w:val="000F5704"/>
    <w:rsid w:val="001160C1"/>
    <w:rsid w:val="00124AC2"/>
    <w:rsid w:val="0019388D"/>
    <w:rsid w:val="00194196"/>
    <w:rsid w:val="001A0DD9"/>
    <w:rsid w:val="001A408A"/>
    <w:rsid w:val="001B1CAB"/>
    <w:rsid w:val="001D2116"/>
    <w:rsid w:val="001D7189"/>
    <w:rsid w:val="001D7A5C"/>
    <w:rsid w:val="002274E5"/>
    <w:rsid w:val="00236DCF"/>
    <w:rsid w:val="002675A3"/>
    <w:rsid w:val="002976F7"/>
    <w:rsid w:val="002A12A1"/>
    <w:rsid w:val="002C36F2"/>
    <w:rsid w:val="003305C6"/>
    <w:rsid w:val="0034234E"/>
    <w:rsid w:val="00342C76"/>
    <w:rsid w:val="003431FD"/>
    <w:rsid w:val="00352DF8"/>
    <w:rsid w:val="003D1C7F"/>
    <w:rsid w:val="003E094B"/>
    <w:rsid w:val="003E75A1"/>
    <w:rsid w:val="003F5B46"/>
    <w:rsid w:val="003F7E30"/>
    <w:rsid w:val="00406F49"/>
    <w:rsid w:val="00413272"/>
    <w:rsid w:val="00433043"/>
    <w:rsid w:val="00443911"/>
    <w:rsid w:val="00485F13"/>
    <w:rsid w:val="004869FE"/>
    <w:rsid w:val="004A6571"/>
    <w:rsid w:val="004B5CBA"/>
    <w:rsid w:val="004D25B5"/>
    <w:rsid w:val="005262F6"/>
    <w:rsid w:val="005314D5"/>
    <w:rsid w:val="00574DEA"/>
    <w:rsid w:val="005A620A"/>
    <w:rsid w:val="005B216D"/>
    <w:rsid w:val="005D5534"/>
    <w:rsid w:val="005D585F"/>
    <w:rsid w:val="005E73AD"/>
    <w:rsid w:val="005F6770"/>
    <w:rsid w:val="0061161A"/>
    <w:rsid w:val="006173D1"/>
    <w:rsid w:val="00617DE9"/>
    <w:rsid w:val="00631DD6"/>
    <w:rsid w:val="00662AD3"/>
    <w:rsid w:val="00686261"/>
    <w:rsid w:val="00691DD6"/>
    <w:rsid w:val="006950E3"/>
    <w:rsid w:val="006C607F"/>
    <w:rsid w:val="006D7FF8"/>
    <w:rsid w:val="006F2A16"/>
    <w:rsid w:val="007166C8"/>
    <w:rsid w:val="007248B8"/>
    <w:rsid w:val="00724C89"/>
    <w:rsid w:val="007346B5"/>
    <w:rsid w:val="00743EA9"/>
    <w:rsid w:val="0075608C"/>
    <w:rsid w:val="007C2F02"/>
    <w:rsid w:val="007D6DFC"/>
    <w:rsid w:val="007E54DC"/>
    <w:rsid w:val="007F721F"/>
    <w:rsid w:val="00810977"/>
    <w:rsid w:val="00815E37"/>
    <w:rsid w:val="0083415C"/>
    <w:rsid w:val="00861631"/>
    <w:rsid w:val="008627F4"/>
    <w:rsid w:val="00886870"/>
    <w:rsid w:val="008A177E"/>
    <w:rsid w:val="008A6E83"/>
    <w:rsid w:val="008C23D3"/>
    <w:rsid w:val="0090183F"/>
    <w:rsid w:val="00977120"/>
    <w:rsid w:val="0099066E"/>
    <w:rsid w:val="009D0E6F"/>
    <w:rsid w:val="009F1C0A"/>
    <w:rsid w:val="00A21E0C"/>
    <w:rsid w:val="00A2300F"/>
    <w:rsid w:val="00A725E8"/>
    <w:rsid w:val="00A729B1"/>
    <w:rsid w:val="00AB1C48"/>
    <w:rsid w:val="00AC3D94"/>
    <w:rsid w:val="00AE11C4"/>
    <w:rsid w:val="00AE5040"/>
    <w:rsid w:val="00B47C2F"/>
    <w:rsid w:val="00B654EC"/>
    <w:rsid w:val="00B7531B"/>
    <w:rsid w:val="00BB29CF"/>
    <w:rsid w:val="00BF0C72"/>
    <w:rsid w:val="00C175BD"/>
    <w:rsid w:val="00C22CD4"/>
    <w:rsid w:val="00C23465"/>
    <w:rsid w:val="00C24982"/>
    <w:rsid w:val="00C25BF7"/>
    <w:rsid w:val="00C40D5C"/>
    <w:rsid w:val="00C80EAC"/>
    <w:rsid w:val="00C8473D"/>
    <w:rsid w:val="00CA33E4"/>
    <w:rsid w:val="00CA6D9E"/>
    <w:rsid w:val="00CC36B2"/>
    <w:rsid w:val="00CE6227"/>
    <w:rsid w:val="00D0246A"/>
    <w:rsid w:val="00D1012A"/>
    <w:rsid w:val="00D411D2"/>
    <w:rsid w:val="00D42FE0"/>
    <w:rsid w:val="00D45508"/>
    <w:rsid w:val="00D53DCF"/>
    <w:rsid w:val="00D76CB1"/>
    <w:rsid w:val="00D86116"/>
    <w:rsid w:val="00DC111D"/>
    <w:rsid w:val="00DC2600"/>
    <w:rsid w:val="00DE25DF"/>
    <w:rsid w:val="00DF374C"/>
    <w:rsid w:val="00DF6798"/>
    <w:rsid w:val="00E36BE5"/>
    <w:rsid w:val="00E371D7"/>
    <w:rsid w:val="00E76A08"/>
    <w:rsid w:val="00E93B1B"/>
    <w:rsid w:val="00EA5D79"/>
    <w:rsid w:val="00EF5883"/>
    <w:rsid w:val="00F24423"/>
    <w:rsid w:val="00F36181"/>
    <w:rsid w:val="00F953D6"/>
    <w:rsid w:val="00FB301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4C"/>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345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1137</Words>
  <Characters>6481</Characters>
  <Application>Microsoft Office Word</Application>
  <DocSecurity>4</DocSecurity>
  <Lines>54</Lines>
  <Paragraphs>15</Paragraphs>
  <ScaleCrop>false</ScaleCrop>
  <Company>HCC</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V8 Financials November 2010</dc:title>
  <dc:creator>hardakj</dc:creator>
  <cp:lastModifiedBy>User</cp:lastModifiedBy>
  <cp:revision>2</cp:revision>
  <dcterms:created xsi:type="dcterms:W3CDTF">2018-12-25T22:37:00Z</dcterms:created>
  <dcterms:modified xsi:type="dcterms:W3CDTF">2018-12-25T22:37:00Z</dcterms:modified>
</cp:coreProperties>
</file>